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4F" w:rsidRDefault="0091454F" w:rsidP="0091454F">
      <w:pPr>
        <w:spacing w:line="60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山西省煤矿安全风险分级管控</w:t>
      </w:r>
    </w:p>
    <w:p w:rsidR="0091454F" w:rsidRDefault="0091454F" w:rsidP="0091454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和隐患排查治理双重预防机制实施指南</w:t>
      </w:r>
    </w:p>
    <w:p w:rsidR="0091454F" w:rsidRDefault="0091454F" w:rsidP="0091454F">
      <w:pPr>
        <w:autoSpaceDE w:val="0"/>
        <w:autoSpaceDN w:val="0"/>
        <w:spacing w:line="600" w:lineRule="exact"/>
        <w:ind w:firstLineChars="200" w:firstLine="640"/>
        <w:jc w:val="left"/>
        <w:outlineLvl w:val="0"/>
        <w:rPr>
          <w:rFonts w:ascii="仿宋_GB2312" w:eastAsia="仿宋_GB2312" w:hAnsi="仿宋_GB2312" w:cs="仿宋_GB2312"/>
          <w:sz w:val="32"/>
          <w:szCs w:val="32"/>
        </w:rPr>
      </w:pPr>
      <w:bookmarkStart w:id="1" w:name="_Toc28027885"/>
      <w:bookmarkEnd w:id="0"/>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2" w:name="_Toc21848"/>
      <w:bookmarkEnd w:id="1"/>
      <w:r>
        <w:rPr>
          <w:rFonts w:ascii="黑体" w:eastAsia="黑体" w:hAnsi="黑体" w:cs="黑体" w:hint="eastAsia"/>
          <w:sz w:val="32"/>
          <w:szCs w:val="32"/>
        </w:rPr>
        <w:t>1 总则</w:t>
      </w:r>
      <w:bookmarkEnd w:id="2"/>
    </w:p>
    <w:p w:rsidR="0091454F" w:rsidRDefault="0091454F" w:rsidP="0091454F">
      <w:pPr>
        <w:autoSpaceDE w:val="0"/>
        <w:autoSpaceDN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1.1 </w:t>
      </w:r>
      <w:r>
        <w:rPr>
          <w:rFonts w:ascii="仿宋_GB2312" w:eastAsia="仿宋_GB2312" w:hAnsi="仿宋_GB2312" w:cs="仿宋_GB2312" w:hint="eastAsia"/>
          <w:color w:val="000000"/>
          <w:sz w:val="32"/>
          <w:szCs w:val="32"/>
        </w:rPr>
        <w:t>为深入贯彻落实国务院安委会办公室《标本兼治遏制重特大事故工作指南》和《关于实施遏制重特大事故工作指南构建双重预防机制的意见》（安委办〔2016〕11号），进一步规范并推进山西省煤矿构建安全风险分级管控和隐患排查治理双重预防机制，实现把风险管控挺在隐患之前，把隐患治理挺在事故之前，规范安全生产行为，不断提升煤矿安全生产的整体预控能力，特制定本指南。</w:t>
      </w:r>
    </w:p>
    <w:p w:rsidR="0091454F" w:rsidRDefault="0091454F" w:rsidP="0091454F">
      <w:pPr>
        <w:autoSpaceDE w:val="0"/>
        <w:autoSpaceDN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指南将风险管控进一步细化到岗位，构建主体延伸的新格局；提出管理层和岗位层各负其责的风险管控新体系；强化重大隐患防治，坚决遏制重特大事故发生；要求全面提高信息化、智能化安全管理，明确了信息系统的新手段。通过贯彻指南要求，使煤矿能够将双重预防机制落实在日常安全生产管理过程中。</w:t>
      </w:r>
    </w:p>
    <w:p w:rsidR="0091454F" w:rsidRDefault="0091454F" w:rsidP="0091454F">
      <w:pPr>
        <w:autoSpaceDE w:val="0"/>
        <w:autoSpaceDN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 本指南规定了煤矿双重预防机制的术语和定义、管理要素及要求，对安全风险分级管控、隐患排查治理、信息化建设和持续改进等内容予以重点明确。</w:t>
      </w:r>
    </w:p>
    <w:p w:rsidR="0091454F" w:rsidRDefault="0091454F" w:rsidP="0091454F">
      <w:pPr>
        <w:autoSpaceDE w:val="0"/>
        <w:autoSpaceDN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 本指南适用于山西省行政区域内所有合法生产、建设的煤矿。</w:t>
      </w:r>
    </w:p>
    <w:p w:rsidR="0091454F" w:rsidRDefault="0091454F" w:rsidP="0091454F">
      <w:pPr>
        <w:autoSpaceDE w:val="0"/>
        <w:autoSpaceDN w:val="0"/>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 本指南受山西省应急管理厅和山西煤矿安全监察局委</w:t>
      </w:r>
      <w:r>
        <w:rPr>
          <w:rFonts w:ascii="仿宋_GB2312" w:eastAsia="仿宋_GB2312" w:hAnsi="仿宋_GB2312" w:cs="仿宋_GB2312" w:hint="eastAsia"/>
          <w:color w:val="000000"/>
          <w:sz w:val="32"/>
          <w:szCs w:val="32"/>
        </w:rPr>
        <w:lastRenderedPageBreak/>
        <w:t>托，由中国矿业大学安全科学与应急管理研究中心组织制定。</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3" w:name="_Toc30087"/>
      <w:r>
        <w:rPr>
          <w:rFonts w:ascii="黑体" w:eastAsia="黑体" w:hAnsi="黑体" w:cs="黑体" w:hint="eastAsia"/>
          <w:sz w:val="32"/>
          <w:szCs w:val="32"/>
        </w:rPr>
        <w:t>2 规范性引用文件</w:t>
      </w:r>
      <w:bookmarkEnd w:id="3"/>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下列文件对于本文件的应用是必不可少的。凡是注日期的引用文件，仅注日期的版本适用于本文件。凡是不注日期的引用文件，其最新版本（包括所有的修改版）适用于本文件。</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23694-2013  《风险管理 术语》</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24353-2009  《风险管理 原则与实施指南》</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27921-2011  《风险管理 风险评估技术》</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28001-2011  《职业健康安全管理体系》</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GB/T 13861-2009  《生产过程危险和有害因素分类与代码》</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 6441-1986  《企业职工伤亡事故分类》</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GBZ/T 229  《工作场所职业病危害作业分级》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AQ/T 1093-2011  《煤矿安全风险预控管理体系 规范》</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《职业病危害因素分类目录》(国卫疾控发〔2015〕92号)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《煤矿重大生产安全事故隐患判定标准》（</w:t>
      </w:r>
      <w:r>
        <w:rPr>
          <w:rFonts w:ascii="仿宋_GB2312" w:eastAsia="仿宋_GB2312" w:hAnsi="仿宋_GB2312" w:cs="仿宋_GB2312" w:hint="eastAsia"/>
          <w:color w:val="000000"/>
          <w:sz w:val="32"/>
          <w:szCs w:val="32"/>
        </w:rPr>
        <w:t>原</w:t>
      </w:r>
      <w:r>
        <w:rPr>
          <w:rFonts w:ascii="仿宋_GB2312" w:eastAsia="仿宋_GB2312" w:hAnsi="仿宋_GB2312" w:cs="仿宋_GB2312" w:hint="eastAsia"/>
          <w:sz w:val="32"/>
          <w:szCs w:val="32"/>
        </w:rPr>
        <w:t>国家安全生产监督管理总局令第85号）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《煤矿安全生产标准化管理体系基本要求及评分办法》（2020版）</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《国务院关于预防煤矿生产安全事故的特别规定》（国务院令第446号）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《煤矿井下单班作业人数限员规定（试行）》（煤安监行管〔2018〕38号）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《企业安全风险分级管控和隐患排查治理工作指南》（晋安办发〔2018〕68号）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《关于建立煤矿重大事故隐患治理督办制度的通知》（晋应急发〔2019〕188号）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《煤矿重大生产安全事故隐患检查办法》（晋应急发〔2019〕322号）</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4" w:name="_Toc2809"/>
      <w:r>
        <w:rPr>
          <w:rFonts w:ascii="黑体" w:eastAsia="黑体" w:hAnsi="黑体" w:cs="黑体" w:hint="eastAsia"/>
          <w:sz w:val="32"/>
          <w:szCs w:val="32"/>
        </w:rPr>
        <w:t>3 术语和定义</w:t>
      </w:r>
      <w:bookmarkEnd w:id="4"/>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下列术语和定义适用于本文件。</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3.1 风险 risk</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生产安全事故或健康损害事件发生的可能性和后果严重性的组合。</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3.2 风险点 risk site</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风险伴随的设施、部位、场所和区域。</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3.3 辨识对象 identification object</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可能产生或存在风险的主体。</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3.4 风险辨识risk identification </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识别辨识对象所存在或伴随风险的过程。</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3.5 风险评估 risk assessment</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针对辨识出的风险，</w:t>
      </w:r>
      <w:r>
        <w:rPr>
          <w:rFonts w:ascii="仿宋_GB2312" w:eastAsia="仿宋_GB2312" w:hAnsi="仿宋_GB2312" w:cs="仿宋_GB2312" w:hint="eastAsia"/>
          <w:color w:val="000000"/>
          <w:sz w:val="32"/>
          <w:szCs w:val="32"/>
        </w:rPr>
        <w:t>评估</w:t>
      </w:r>
      <w:r>
        <w:rPr>
          <w:rFonts w:ascii="仿宋_GB2312" w:eastAsia="仿宋_GB2312" w:hAnsi="仿宋_GB2312" w:cs="仿宋_GB2312" w:hint="eastAsia"/>
          <w:sz w:val="32"/>
          <w:szCs w:val="32"/>
        </w:rPr>
        <w:t>其导致事故发生的可能性及危害程度，确定风险等级的过程。</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3.6 风险分级管控 risk grading control</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按照评估的风险等级，确定不同管控层级</w:t>
      </w:r>
      <w:r>
        <w:rPr>
          <w:rFonts w:ascii="仿宋_GB2312" w:eastAsia="仿宋_GB2312" w:hAnsi="仿宋_GB2312" w:cs="仿宋_GB2312" w:hint="eastAsia"/>
          <w:color w:val="000000"/>
          <w:sz w:val="32"/>
          <w:szCs w:val="32"/>
        </w:rPr>
        <w:t>、方式或频率等</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lastRenderedPageBreak/>
        <w:t>管控方式。</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3.7 风险管控措施 risk control measures</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为管控风险所采取的消除、隔离、控制或个人防护等方法和手段。</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3.8 风险预警 risk warning</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根据风险管控效果和隐患排查治理情况等相关信息监控风险的变化情况，当其超过预设条件时发出警示信息。</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3.9 隐患 hidden danger</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在生产经营活动中，当风险管控措施失效或落实不到位后，存在的可能导致职业健康损害或事故发生的人的不安全行为、物的不安全状态、环境的不安全因素或管理上的缺陷。</w:t>
      </w:r>
    </w:p>
    <w:p w:rsidR="0091454F" w:rsidRDefault="0091454F" w:rsidP="0091454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3.10 隐患排查 screening for hidden danger</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对生产经营过程中产生的隐患进行检查、监测、分析的过程。</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5" w:name="_Toc24087"/>
      <w:r>
        <w:rPr>
          <w:rFonts w:ascii="黑体" w:eastAsia="黑体" w:hAnsi="黑体" w:cs="黑体" w:hint="eastAsia"/>
          <w:sz w:val="32"/>
          <w:szCs w:val="32"/>
        </w:rPr>
        <w:t>4 基本要求</w:t>
      </w:r>
      <w:bookmarkEnd w:id="5"/>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6" w:name="_Toc2576"/>
      <w:r>
        <w:rPr>
          <w:rFonts w:ascii="楷体_GB2312" w:eastAsia="楷体_GB2312" w:hAnsi="楷体_GB2312" w:cs="楷体_GB2312" w:hint="eastAsia"/>
          <w:b/>
          <w:bCs/>
          <w:sz w:val="32"/>
          <w:szCs w:val="32"/>
        </w:rPr>
        <w:t>4.1 机构与职责</w:t>
      </w:r>
      <w:bookmarkEnd w:id="6"/>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煤矿是双重预防机制</w:t>
      </w:r>
      <w:r>
        <w:rPr>
          <w:rFonts w:ascii="仿宋_GB2312" w:eastAsia="仿宋_GB2312" w:hAnsi="仿宋_GB2312" w:cs="仿宋_GB2312" w:hint="eastAsia"/>
          <w:color w:val="000000"/>
          <w:sz w:val="32"/>
          <w:szCs w:val="32"/>
        </w:rPr>
        <w:t>建设和运行</w:t>
      </w:r>
      <w:r>
        <w:rPr>
          <w:rFonts w:ascii="仿宋_GB2312" w:eastAsia="仿宋_GB2312" w:hAnsi="仿宋_GB2312" w:cs="仿宋_GB2312" w:hint="eastAsia"/>
          <w:sz w:val="32"/>
          <w:szCs w:val="32"/>
        </w:rPr>
        <w:t>工作的责任主体，应当明确双重预防机制建设和运行的管理部门和人员，并明确：</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——矿长为本单位双重预防工作的第一责任人；</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——各分管负责人负责分管范围内的双重预防工作；</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——分管安全负责人按要求组织监督检查，负责双重预防工作的考核；</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——各科室（部门）、区队（车间）、班组、岗位人员的双重</w:t>
      </w:r>
      <w:r>
        <w:rPr>
          <w:rFonts w:ascii="仿宋_GB2312" w:eastAsia="仿宋_GB2312" w:hAnsi="仿宋_GB2312" w:cs="仿宋_GB2312" w:hint="eastAsia"/>
          <w:sz w:val="32"/>
          <w:szCs w:val="32"/>
        </w:rPr>
        <w:lastRenderedPageBreak/>
        <w:t>预防工作职责。</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7" w:name="_Toc14105"/>
      <w:r>
        <w:rPr>
          <w:rFonts w:ascii="楷体_GB2312" w:eastAsia="楷体_GB2312" w:hAnsi="楷体_GB2312" w:cs="楷体_GB2312" w:hint="eastAsia"/>
          <w:b/>
          <w:bCs/>
          <w:sz w:val="32"/>
          <w:szCs w:val="32"/>
        </w:rPr>
        <w:t>4.2 管理制度</w:t>
      </w:r>
      <w:bookmarkEnd w:id="7"/>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双重预防机制管理制度应包含以下内容：安全风险辨识、安全风险评估、风险分级管控、岗位作业流程标准化、事故隐患排查、事故隐患治理与验收、双重预防机制教育培训、运行考核、奖励处罚等。</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8" w:name="_Toc31311"/>
      <w:r>
        <w:rPr>
          <w:rFonts w:ascii="黑体" w:eastAsia="黑体" w:hAnsi="黑体" w:cs="黑体" w:hint="eastAsia"/>
          <w:sz w:val="32"/>
          <w:szCs w:val="32"/>
        </w:rPr>
        <w:t>5 安全风险分级管控</w:t>
      </w:r>
      <w:bookmarkEnd w:id="8"/>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9" w:name="_Toc31277"/>
      <w:r>
        <w:rPr>
          <w:rFonts w:ascii="楷体_GB2312" w:eastAsia="楷体_GB2312" w:hAnsi="楷体_GB2312" w:cs="楷体_GB2312" w:hint="eastAsia"/>
          <w:b/>
          <w:bCs/>
          <w:sz w:val="32"/>
          <w:szCs w:val="32"/>
        </w:rPr>
        <w:t>5.1 安全风险辨识</w:t>
      </w:r>
      <w:bookmarkEnd w:id="9"/>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5.1.1人员组织</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每年底，</w:t>
      </w:r>
      <w:r>
        <w:rPr>
          <w:rFonts w:ascii="仿宋_GB2312" w:eastAsia="仿宋_GB2312" w:hAnsi="仿宋_GB2312" w:cs="仿宋_GB2312" w:hint="eastAsia"/>
          <w:sz w:val="32"/>
          <w:szCs w:val="32"/>
        </w:rPr>
        <w:t>矿长组织各分管负责人、副总工程师和相关科室（部门）、区队（车间）进行年度安全风险辨识评估，</w:t>
      </w:r>
      <w:r>
        <w:rPr>
          <w:rFonts w:ascii="仿宋_GB2312" w:eastAsia="仿宋_GB2312" w:hAnsi="仿宋_GB2312" w:cs="仿宋_GB2312" w:hint="eastAsia"/>
          <w:color w:val="000000"/>
          <w:sz w:val="32"/>
          <w:szCs w:val="32"/>
        </w:rPr>
        <w:t>同时</w:t>
      </w:r>
      <w:r>
        <w:rPr>
          <w:rFonts w:ascii="仿宋_GB2312" w:eastAsia="仿宋_GB2312" w:hAnsi="仿宋_GB2312" w:cs="仿宋_GB2312" w:hint="eastAsia"/>
          <w:sz w:val="32"/>
          <w:szCs w:val="32"/>
        </w:rPr>
        <w:t>对各岗位作业活动存在的风险进行辨识评估；矿长和各分管负责人按要求开展专项风险辨识评估。参与辨识人员必须经过安全风险辨识评估技术培训。</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5.1.2 风险点划分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年度辨识人员依据功能独立、易于管理、大小适中、责任明确的原则划分风险点，形成风险点台账。</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风险点台账内容应包括：风险点名称、排查日期、开始日期、解除日期等信息（参见附录A.1）。风险点台账应根据现场实际及时更新。</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5.1.3 辨识对象识别</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煤矿应根据风险点台账，识别各风险点中的辨识对象，辨识</w:t>
      </w:r>
      <w:r>
        <w:rPr>
          <w:rFonts w:ascii="仿宋_GB2312" w:eastAsia="仿宋_GB2312" w:hAnsi="仿宋_GB2312" w:cs="仿宋_GB2312" w:hint="eastAsia"/>
          <w:sz w:val="32"/>
          <w:szCs w:val="32"/>
        </w:rPr>
        <w:lastRenderedPageBreak/>
        <w:t>对象主要分为四种类型：设备设施（系统）类、作业活动类、作业环境类及其他。</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——设备设施（系统）类指风险点内有毒有害物质或能量的载体，如采煤机、综掘机、瓦斯抽放系统等；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——作业活动类应涵盖常规作业活动和非常规作业活动，常规作业活动如：割煤作业、移架作业、探放水作业，非常规作业活动如：启封密闭、排放瓦斯等；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——作业环境类指风险点中可能包含的水、火、瓦斯、顶板、煤尘、冲击地压、热害等环境类因素；</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——其他是依据煤矿实际情况对辨识对象的补充。</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5.1.4</w:t>
      </w:r>
      <w:bookmarkStart w:id="10" w:name="_Hlk30160538"/>
      <w:r>
        <w:rPr>
          <w:rFonts w:ascii="仿宋_GB2312" w:eastAsia="仿宋_GB2312" w:hAnsi="仿宋_GB2312" w:cs="仿宋_GB2312" w:hint="eastAsia"/>
          <w:b/>
          <w:bCs/>
          <w:sz w:val="32"/>
          <w:szCs w:val="32"/>
        </w:rPr>
        <w:t xml:space="preserve"> 风险辨识内容</w:t>
      </w:r>
      <w:bookmarkEnd w:id="10"/>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煤矿每年底应</w:t>
      </w:r>
      <w:r>
        <w:rPr>
          <w:rFonts w:ascii="仿宋_GB2312" w:eastAsia="仿宋_GB2312" w:hAnsi="仿宋_GB2312" w:cs="仿宋_GB2312" w:hint="eastAsia"/>
          <w:color w:val="000000"/>
          <w:sz w:val="32"/>
          <w:szCs w:val="32"/>
        </w:rPr>
        <w:t>对</w:t>
      </w:r>
      <w:r>
        <w:rPr>
          <w:rFonts w:ascii="仿宋_GB2312" w:eastAsia="仿宋_GB2312" w:hAnsi="仿宋_GB2312" w:cs="仿宋_GB2312" w:hint="eastAsia"/>
          <w:sz w:val="32"/>
          <w:szCs w:val="32"/>
        </w:rPr>
        <w:t>所有风险点开展安全风险辨识，重点对井工煤矿瓦斯、水、火、煤尘、顶板、冲击地压及提升运输系统，露天煤矿边坡、爆破、机电运输等容易导致群死群伤事故的危险因素开展安全风险辨识评估。年度辨识应编制年度风险辨识报告，制定《煤矿重大安全风险管控方案》。辨识结果应用于确定下一年度安全生产工作重点，并指导和完善下一年度生产计划、灾害预防和处理计划、应急救援预案、安全培训计划、安全费用提取和使用计划。</w:t>
      </w:r>
    </w:p>
    <w:p w:rsidR="0091454F" w:rsidRDefault="0091454F" w:rsidP="0091454F">
      <w:pPr>
        <w:spacing w:line="600" w:lineRule="exact"/>
        <w:ind w:firstLineChars="200" w:firstLine="640"/>
        <w:rPr>
          <w:rFonts w:ascii="仿宋_GB2312" w:eastAsia="仿宋_GB2312" w:hAnsi="仿宋_GB2312" w:cs="仿宋_GB2312"/>
          <w:color w:val="0000FF"/>
          <w:sz w:val="32"/>
          <w:szCs w:val="32"/>
          <w:u w:val="thick"/>
        </w:rPr>
      </w:pPr>
      <w:r>
        <w:rPr>
          <w:rFonts w:ascii="仿宋_GB2312" w:eastAsia="仿宋_GB2312" w:hAnsi="仿宋_GB2312" w:cs="仿宋_GB2312" w:hint="eastAsia"/>
          <w:sz w:val="32"/>
          <w:szCs w:val="32"/>
        </w:rPr>
        <w:t>煤矿应组织相关人员对各岗位作业活动进行梳理，对作业活动可能存在的风险进行全面辨识，</w:t>
      </w:r>
      <w:r>
        <w:rPr>
          <w:rFonts w:ascii="仿宋_GB2312" w:eastAsia="仿宋_GB2312" w:hAnsi="仿宋_GB2312" w:cs="仿宋_GB2312" w:hint="eastAsia"/>
          <w:color w:val="000000"/>
          <w:sz w:val="32"/>
          <w:szCs w:val="32"/>
        </w:rPr>
        <w:t>并制作岗位风险告知卡，纳入到岗位作业流程标准化中。</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当出现下列情况时，应组织开展专项风险辨识：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水平、新采（盘）区、新工作面设计前，由总工程师组织有关科室（部门），重点辨识评估地质条件和重大灾害因素等方面存在的安全风险。有新增重大风险或需调整措施的补充完善《煤矿重大安全风险管控方案》，辨识评估结果应用于完善设计方案，指导生产工艺选择、生产系统布置、设备选型、劳动组织确定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系统、生产工艺、主要设施设备、重大灾害因素（露天煤矿爆破参数、边坡参数）等发生重大变化，由分管负责人组织有关科室（部门），重点辨识评估作业环境、生产过程、重大灾害因素和设施设备运行等方面存在的安全风险。有新增重大风险或需调整措施的补充完善《煤矿重大安全风险管控方案》，辨识评估结果应用于指导编制或修订完善作业规程、操作规程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启封密闭、排放瓦斯、反风演习、工作面通过空巷（采空区）、更换大型设备、采煤工作面初采和收尾、强制放顶前、掘进工作面贯通前；老空区探放水、煤仓疏通作业、突出矿井过构造带及石门揭煤等高危作业实施前；露天煤矿抛掷爆破；新技术、新工艺、新设备、新材料试验或推广应用前；连续停工停产1个月以上的煤矿复工复产前，由分管负责人（复产复工前专项辨识评估由矿长）组织有关科室（部门）、生产组织单位，重点辨识评估作业环境、工程技术、设备设施、现场操作等方面存在的安全风险。有新增重大风险或需调整措施的补充完善《煤矿重</w:t>
      </w:r>
      <w:r>
        <w:rPr>
          <w:rFonts w:ascii="仿宋_GB2312" w:eastAsia="仿宋_GB2312" w:hAnsi="仿宋_GB2312" w:cs="仿宋_GB2312" w:hint="eastAsia"/>
          <w:sz w:val="32"/>
          <w:szCs w:val="32"/>
        </w:rPr>
        <w:lastRenderedPageBreak/>
        <w:t>大安全风险管控方案》，辨识评估结果作为编制安全技术措施依据。</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矿发生死亡事故或涉险事故、出现重大事故隐患，全国煤矿发生重特大事故，本省或所属集团其他煤矿发生较大事故后，由矿长组织分管负责人和科室（部门），对本矿存在的类似安全风险进行专项风险辨识，识别安全风险辨识评估结果及管控措施是否存在漏洞、盲区。有新增重大风险或需调整措施的补充完善《煤矿重大安全风险管控方案》，辨识评估结果应用于指导修订完善设计方案、作业规程、操作规程、安全技术措施等技术文件。</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专项辨识完成后，应编制专项辨识评估报告并补充重大安全风险清单。</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5.1.5 </w:t>
      </w:r>
      <w:bookmarkStart w:id="11" w:name="_Hlk30160586"/>
      <w:r>
        <w:rPr>
          <w:rFonts w:ascii="仿宋_GB2312" w:eastAsia="仿宋_GB2312" w:hAnsi="仿宋_GB2312" w:cs="仿宋_GB2312" w:hint="eastAsia"/>
          <w:b/>
          <w:bCs/>
          <w:sz w:val="32"/>
          <w:szCs w:val="32"/>
        </w:rPr>
        <w:t>风险类型</w:t>
      </w:r>
      <w:bookmarkEnd w:id="11"/>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12" w:name="_Hlk30160610"/>
      <w:r>
        <w:rPr>
          <w:rFonts w:ascii="仿宋_GB2312" w:eastAsia="仿宋_GB2312" w:hAnsi="仿宋_GB2312" w:cs="仿宋_GB2312" w:hint="eastAsia"/>
          <w:sz w:val="32"/>
          <w:szCs w:val="32"/>
        </w:rPr>
        <w:t>煤矿</w:t>
      </w:r>
      <w:r>
        <w:rPr>
          <w:rFonts w:ascii="仿宋_GB2312" w:eastAsia="仿宋_GB2312" w:hAnsi="仿宋_GB2312" w:cs="仿宋_GB2312" w:hint="eastAsia"/>
          <w:color w:val="000000"/>
          <w:sz w:val="32"/>
          <w:szCs w:val="32"/>
        </w:rPr>
        <w:t>应按照可能导致的事故及伤害类型，将</w:t>
      </w:r>
      <w:r>
        <w:rPr>
          <w:rFonts w:ascii="仿宋_GB2312" w:eastAsia="仿宋_GB2312" w:hAnsi="仿宋_GB2312" w:cs="仿宋_GB2312" w:hint="eastAsia"/>
          <w:sz w:val="32"/>
          <w:szCs w:val="32"/>
        </w:rPr>
        <w:t>辨识出的风险划分</w:t>
      </w:r>
      <w:r>
        <w:rPr>
          <w:rFonts w:ascii="仿宋_GB2312" w:eastAsia="仿宋_GB2312" w:hAnsi="仿宋_GB2312" w:cs="仿宋_GB2312" w:hint="eastAsia"/>
          <w:color w:val="000000"/>
          <w:sz w:val="32"/>
          <w:szCs w:val="32"/>
        </w:rPr>
        <w:t>为</w:t>
      </w:r>
      <w:r>
        <w:rPr>
          <w:rFonts w:ascii="仿宋_GB2312" w:eastAsia="仿宋_GB2312" w:hAnsi="仿宋_GB2312" w:cs="仿宋_GB2312" w:hint="eastAsia"/>
          <w:sz w:val="32"/>
          <w:szCs w:val="32"/>
        </w:rPr>
        <w:t>不同的风险类型，一般包括：</w:t>
      </w:r>
      <w:bookmarkStart w:id="13" w:name="_Hlk30161088"/>
      <w:r>
        <w:rPr>
          <w:rFonts w:ascii="仿宋_GB2312" w:eastAsia="仿宋_GB2312" w:hAnsi="仿宋_GB2312" w:cs="仿宋_GB2312" w:hint="eastAsia"/>
          <w:sz w:val="32"/>
          <w:szCs w:val="32"/>
        </w:rPr>
        <w:t>物体打击、运输、机械伤害、起重伤害、触电、淹溺、灼烫、火灾、高处坠落、坍塌、冒顶片帮、水灾、放炮、火药爆炸、瓦斯爆炸、锅炉爆炸、容器爆炸、其他爆炸、中毒和窒息、冲击地压、煤与瓦斯突出、煤尘爆炸、职业病伤害（粉尘、噪声、辐射、热害等）及其他。</w:t>
      </w:r>
      <w:bookmarkEnd w:id="12"/>
      <w:bookmarkEnd w:id="13"/>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5.1.6 辨识方法</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14" w:name="_Hlk30161134"/>
      <w:r>
        <w:rPr>
          <w:rFonts w:ascii="仿宋_GB2312" w:eastAsia="仿宋_GB2312" w:hAnsi="仿宋_GB2312" w:cs="仿宋_GB2312" w:hint="eastAsia"/>
          <w:sz w:val="32"/>
          <w:szCs w:val="32"/>
        </w:rPr>
        <w:t>安全风险的辨识方法可使用以下方法：</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——安全检查表法（参见附录A.2）；</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——经验分析法（参见附录A.3）；</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——作业危害分析法（参见附录A.4）。</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15" w:name="_Toc25790"/>
      <w:bookmarkEnd w:id="14"/>
      <w:r>
        <w:rPr>
          <w:rFonts w:ascii="楷体_GB2312" w:eastAsia="楷体_GB2312" w:hAnsi="楷体_GB2312" w:cs="楷体_GB2312" w:hint="eastAsia"/>
          <w:b/>
          <w:bCs/>
          <w:sz w:val="32"/>
          <w:szCs w:val="32"/>
        </w:rPr>
        <w:t>5.2 安全风险评估</w:t>
      </w:r>
      <w:bookmarkEnd w:id="15"/>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5.2.1 评估方法</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16" w:name="_Hlk30162311"/>
      <w:r>
        <w:rPr>
          <w:rFonts w:ascii="仿宋_GB2312" w:eastAsia="仿宋_GB2312" w:hAnsi="仿宋_GB2312" w:cs="仿宋_GB2312" w:hint="eastAsia"/>
          <w:sz w:val="32"/>
          <w:szCs w:val="32"/>
        </w:rPr>
        <w:t>风险评估方法可采用但不限于以下方法：</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——风险矩阵法（参见附录B.1）；</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——作业条件危险性评价法（参见附录B.2）</w:t>
      </w:r>
      <w:bookmarkEnd w:id="16"/>
      <w:r>
        <w:rPr>
          <w:rFonts w:ascii="仿宋_GB2312" w:eastAsia="仿宋_GB2312" w:hAnsi="仿宋_GB2312" w:cs="仿宋_GB2312" w:hint="eastAsia"/>
          <w:sz w:val="32"/>
          <w:szCs w:val="32"/>
        </w:rPr>
        <w:t>。</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5.2.2 安全风险等级划分</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17" w:name="_Hlk30162723"/>
      <w:r>
        <w:rPr>
          <w:rFonts w:ascii="仿宋_GB2312" w:eastAsia="仿宋_GB2312" w:hAnsi="仿宋_GB2312" w:cs="仿宋_GB2312" w:hint="eastAsia"/>
          <w:sz w:val="32"/>
          <w:szCs w:val="32"/>
        </w:rPr>
        <w:t>安全风险等级从高到低划分为重大风险、较大风险、一般风险和低风险，分别用红、橙、黄、蓝四种颜色标示，结合矿图制作安全风险四色图。</w:t>
      </w:r>
    </w:p>
    <w:bookmarkEnd w:id="17"/>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5.2.3 重大风险认定</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18" w:name="_Hlk30163012"/>
      <w:r>
        <w:rPr>
          <w:rFonts w:ascii="仿宋_GB2312" w:eastAsia="仿宋_GB2312" w:hAnsi="仿宋_GB2312" w:cs="仿宋_GB2312" w:hint="eastAsia"/>
          <w:sz w:val="32"/>
          <w:szCs w:val="32"/>
        </w:rPr>
        <w:t>煤矿有《重大风险认定情形》（参见附录E）中情况之一的，应直接确定为重大风险。除此之外，煤矿</w:t>
      </w:r>
      <w:r>
        <w:rPr>
          <w:rFonts w:ascii="仿宋_GB2312" w:eastAsia="仿宋_GB2312" w:hAnsi="仿宋_GB2312" w:cs="仿宋_GB2312" w:hint="eastAsia"/>
          <w:color w:val="000000"/>
          <w:sz w:val="32"/>
          <w:szCs w:val="32"/>
        </w:rPr>
        <w:t>应</w:t>
      </w:r>
      <w:r>
        <w:rPr>
          <w:rFonts w:ascii="仿宋_GB2312" w:eastAsia="仿宋_GB2312" w:hAnsi="仿宋_GB2312" w:cs="仿宋_GB2312" w:hint="eastAsia"/>
          <w:sz w:val="32"/>
          <w:szCs w:val="32"/>
        </w:rPr>
        <w:t>结合自身实际情况按照风险评估方法（5.2.1）辨识评估</w:t>
      </w:r>
      <w:r>
        <w:rPr>
          <w:rFonts w:ascii="仿宋_GB2312" w:eastAsia="仿宋_GB2312" w:hAnsi="仿宋_GB2312" w:cs="仿宋_GB2312" w:hint="eastAsia"/>
          <w:color w:val="000000"/>
          <w:sz w:val="32"/>
          <w:szCs w:val="32"/>
        </w:rPr>
        <w:t>其他</w:t>
      </w:r>
      <w:r>
        <w:rPr>
          <w:rFonts w:ascii="仿宋_GB2312" w:eastAsia="仿宋_GB2312" w:hAnsi="仿宋_GB2312" w:cs="仿宋_GB2312" w:hint="eastAsia"/>
          <w:sz w:val="32"/>
          <w:szCs w:val="32"/>
        </w:rPr>
        <w:t>重大风险</w:t>
      </w:r>
      <w:r>
        <w:rPr>
          <w:rFonts w:ascii="仿宋_GB2312" w:eastAsia="仿宋_GB2312" w:hAnsi="仿宋_GB2312" w:cs="仿宋_GB2312" w:hint="eastAsia"/>
          <w:color w:val="000000"/>
          <w:sz w:val="32"/>
          <w:szCs w:val="32"/>
        </w:rPr>
        <w:t>，共同构成</w:t>
      </w:r>
      <w:r>
        <w:rPr>
          <w:rFonts w:ascii="仿宋_GB2312" w:eastAsia="仿宋_GB2312" w:hAnsi="仿宋_GB2312" w:cs="仿宋_GB2312" w:hint="eastAsia"/>
          <w:sz w:val="32"/>
          <w:szCs w:val="32"/>
        </w:rPr>
        <w:t>煤矿重大安全风险清单。</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19" w:name="_Toc21116"/>
      <w:bookmarkEnd w:id="18"/>
      <w:r>
        <w:rPr>
          <w:rFonts w:ascii="楷体_GB2312" w:eastAsia="楷体_GB2312" w:hAnsi="楷体_GB2312" w:cs="楷体_GB2312" w:hint="eastAsia"/>
          <w:b/>
          <w:bCs/>
          <w:sz w:val="32"/>
          <w:szCs w:val="32"/>
        </w:rPr>
        <w:t>5.3 制定风险管控措施</w:t>
      </w:r>
      <w:bookmarkEnd w:id="19"/>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煤矿应根据安全生产法律、法规、标准及规程、安全生产标准化各专业要求</w:t>
      </w:r>
      <w:r>
        <w:rPr>
          <w:rFonts w:ascii="仿宋_GB2312" w:eastAsia="仿宋_GB2312" w:hAnsi="仿宋_GB2312" w:cs="仿宋_GB2312" w:hint="eastAsia"/>
          <w:color w:val="000000"/>
          <w:sz w:val="32"/>
          <w:szCs w:val="32"/>
        </w:rPr>
        <w:t>等，</w:t>
      </w:r>
      <w:r>
        <w:rPr>
          <w:rFonts w:ascii="仿宋_GB2312" w:eastAsia="仿宋_GB2312" w:hAnsi="仿宋_GB2312" w:cs="仿宋_GB2312" w:hint="eastAsia"/>
          <w:sz w:val="32"/>
          <w:szCs w:val="32"/>
        </w:rPr>
        <w:t>并结合实际情况，制定安全风险管控措施</w:t>
      </w:r>
      <w:r>
        <w:rPr>
          <w:rFonts w:ascii="仿宋_GB2312" w:eastAsia="仿宋_GB2312" w:hAnsi="仿宋_GB2312" w:cs="仿宋_GB2312" w:hint="eastAsia"/>
          <w:color w:val="000000"/>
          <w:sz w:val="32"/>
          <w:szCs w:val="32"/>
        </w:rPr>
        <w:t>。管控</w:t>
      </w:r>
      <w:r>
        <w:rPr>
          <w:rFonts w:ascii="仿宋_GB2312" w:eastAsia="仿宋_GB2312" w:hAnsi="仿宋_GB2312" w:cs="仿宋_GB2312" w:hint="eastAsia"/>
          <w:sz w:val="32"/>
          <w:szCs w:val="32"/>
        </w:rPr>
        <w:t>措施需遵循安全、可行、可靠的原则，可从以下方面制定风险管控措施：</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——工程技术；</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——安全管理；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——人员培训；</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——个体防护；</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——应急处置。</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《煤矿重大安全风险管控方案》内容应当包括：可能引发重特大事故的重大安全风险清单、管控措施、责任单位和责任人、时限、技术、资金、应急处置等内容。</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由矿长组织实施《煤矿重大安全风险管控方案》，人员、技术、资金满足要求，重大安全风险管控措施落实到位。</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煤矿应在重大安全风险的区域设定作业人数上限，满足《煤矿井下单班作业人数限员规定（试行）》（煤安监行管〔2018〕38号）文件要求，入口显著位置悬挂限员牌板。</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0" w:name="_Toc32031"/>
      <w:r>
        <w:rPr>
          <w:rFonts w:ascii="楷体_GB2312" w:eastAsia="楷体_GB2312" w:hAnsi="楷体_GB2312" w:cs="楷体_GB2312" w:hint="eastAsia"/>
          <w:b/>
          <w:bCs/>
          <w:sz w:val="32"/>
          <w:szCs w:val="32"/>
        </w:rPr>
        <w:t>5.4 分级管控</w:t>
      </w:r>
      <w:bookmarkEnd w:id="20"/>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5.4.1 管控层级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按照煤矿管理层级，逐一分解落实安全风险管控责任。上一级负责管控的风险，下一级必须同时负责管控：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——重大风险由煤矿矿长管控；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——较大风险由分管负责人和科室（部门）管控；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——一般风险由区队（车间）负责人管控；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——低风险由班组长和岗位人员管控。</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5.4.2 分</w:t>
      </w:r>
      <w:r>
        <w:rPr>
          <w:rFonts w:ascii="仿宋_GB2312" w:eastAsia="仿宋_GB2312" w:hAnsi="仿宋_GB2312" w:cs="仿宋_GB2312" w:hint="eastAsia"/>
          <w:b/>
          <w:bCs/>
          <w:color w:val="000000"/>
          <w:sz w:val="32"/>
          <w:szCs w:val="32"/>
        </w:rPr>
        <w:t>专业、分区域、分系统</w:t>
      </w:r>
      <w:r>
        <w:rPr>
          <w:rFonts w:ascii="仿宋_GB2312" w:eastAsia="仿宋_GB2312" w:hAnsi="仿宋_GB2312" w:cs="仿宋_GB2312" w:hint="eastAsia"/>
          <w:b/>
          <w:bCs/>
          <w:sz w:val="32"/>
          <w:szCs w:val="32"/>
        </w:rPr>
        <w:t>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对安全风险进行分专业、分区域管控：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——分专业管控：</w:t>
      </w:r>
      <w:r>
        <w:rPr>
          <w:rFonts w:ascii="仿宋_GB2312" w:eastAsia="仿宋_GB2312" w:hAnsi="仿宋_GB2312" w:cs="仿宋_GB2312" w:hint="eastAsia"/>
          <w:color w:val="000000"/>
          <w:sz w:val="32"/>
          <w:szCs w:val="32"/>
        </w:rPr>
        <w:t>各专业</w:t>
      </w:r>
      <w:r>
        <w:rPr>
          <w:rFonts w:ascii="仿宋_GB2312" w:eastAsia="仿宋_GB2312" w:hAnsi="仿宋_GB2312" w:cs="仿宋_GB2312" w:hint="eastAsia"/>
          <w:sz w:val="32"/>
          <w:szCs w:val="32"/>
        </w:rPr>
        <w:t>的较大及以上风险由该专业分管负责人和分管科室（部门）管控；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——分区域管控：</w:t>
      </w:r>
      <w:r>
        <w:rPr>
          <w:rFonts w:ascii="仿宋_GB2312" w:eastAsia="仿宋_GB2312" w:hAnsi="仿宋_GB2312" w:cs="仿宋_GB2312" w:hint="eastAsia"/>
          <w:color w:val="000000"/>
          <w:sz w:val="32"/>
          <w:szCs w:val="32"/>
        </w:rPr>
        <w:t>各生产</w:t>
      </w:r>
      <w:r>
        <w:rPr>
          <w:rFonts w:ascii="仿宋_GB2312" w:eastAsia="仿宋_GB2312" w:hAnsi="仿宋_GB2312" w:cs="仿宋_GB2312" w:hint="eastAsia"/>
          <w:sz w:val="32"/>
          <w:szCs w:val="32"/>
        </w:rPr>
        <w:t>（服务）区域（场所）的风险由该风险点的责任单位管控；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——分系统管控：各系统存在的风险由该系统分管负责人和分管科室（部门）管控。</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5.4.3 管控组织</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煤矿应组织人员定期开展安全风险管控措施</w:t>
      </w:r>
      <w:r>
        <w:rPr>
          <w:rFonts w:ascii="仿宋_GB2312" w:eastAsia="仿宋_GB2312" w:hAnsi="仿宋_GB2312" w:cs="仿宋_GB2312" w:hint="eastAsia"/>
          <w:color w:val="000000"/>
          <w:sz w:val="32"/>
          <w:szCs w:val="32"/>
        </w:rPr>
        <w:t>落实情况的</w:t>
      </w:r>
      <w:r>
        <w:rPr>
          <w:rFonts w:ascii="仿宋_GB2312" w:eastAsia="仿宋_GB2312" w:hAnsi="仿宋_GB2312" w:cs="仿宋_GB2312" w:hint="eastAsia"/>
          <w:sz w:val="32"/>
          <w:szCs w:val="32"/>
        </w:rPr>
        <w:t>检查工作。检查周期及范围如下：</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——矿长每月组织1次针对生产各系统和各岗位的重大安全风险管控情况的安全检查，检查重大风险管控措施的落实情况和管控效果，检查前制定工作方案，明确检查时间、方式、范围、内容和参加人员；</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——分管负责人每半月至少组织1次针对分管范围内安全风险管控情况的安全检查，检查管控措施落实情况；</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——生产期间，科室（部门）、区队每天安排管理、技术和安监人员进行巡查，对作业区域内的安全风险管控措施落实情况进行检查；</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——班组和岗位作业人员熟知岗位风险告知卡，在作业过程中随时关注和岗位相关安全风险的变化情况，发现问题立即上报； </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——按照《煤矿领导带班下井及安全监督检查规定》，执行煤矿领导带班制度，跟踪、记录带班区域重大安全风险管控措施</w:t>
      </w:r>
      <w:r>
        <w:rPr>
          <w:rFonts w:ascii="仿宋_GB2312" w:eastAsia="仿宋_GB2312" w:hAnsi="仿宋_GB2312" w:cs="仿宋_GB2312" w:hint="eastAsia"/>
          <w:sz w:val="32"/>
          <w:szCs w:val="32"/>
        </w:rPr>
        <w:lastRenderedPageBreak/>
        <w:t>落实情况，发现问题及时组织整改。</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1" w:name="_Toc27922"/>
      <w:r>
        <w:rPr>
          <w:rFonts w:ascii="楷体_GB2312" w:eastAsia="楷体_GB2312" w:hAnsi="楷体_GB2312" w:cs="楷体_GB2312" w:hint="eastAsia"/>
          <w:b/>
          <w:bCs/>
          <w:sz w:val="32"/>
          <w:szCs w:val="32"/>
        </w:rPr>
        <w:t>5.5 管控清单</w:t>
      </w:r>
      <w:bookmarkEnd w:id="21"/>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煤矿年度风险辨识评估后，</w:t>
      </w:r>
      <w:r>
        <w:rPr>
          <w:rFonts w:ascii="仿宋_GB2312" w:eastAsia="仿宋_GB2312" w:hAnsi="仿宋_GB2312" w:cs="仿宋_GB2312" w:hint="eastAsia"/>
          <w:color w:val="000000"/>
          <w:sz w:val="32"/>
          <w:szCs w:val="32"/>
        </w:rPr>
        <w:t>应编制矿长、分管负责人和技术管理部门、区队</w:t>
      </w:r>
      <w:r>
        <w:rPr>
          <w:rFonts w:ascii="仿宋_GB2312" w:eastAsia="仿宋_GB2312" w:hAnsi="仿宋_GB2312" w:cs="仿宋_GB2312" w:hint="eastAsia"/>
          <w:sz w:val="32"/>
          <w:szCs w:val="32"/>
        </w:rPr>
        <w:t>的安全风险管控清单。安全风险管控清单内容主要包括：风险点、辨识对象、风险类型、风险描述、风险等级、管控措施以及责任岗位。</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2" w:name="_Toc11095"/>
      <w:r>
        <w:rPr>
          <w:rFonts w:ascii="楷体_GB2312" w:eastAsia="楷体_GB2312" w:hAnsi="楷体_GB2312" w:cs="楷体_GB2312" w:hint="eastAsia"/>
          <w:b/>
          <w:bCs/>
          <w:sz w:val="32"/>
          <w:szCs w:val="32"/>
        </w:rPr>
        <w:t>5.6 安全风险分级管控考核</w:t>
      </w:r>
      <w:bookmarkEnd w:id="22"/>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煤矿应制定安全风险分级管控考核制度，对风险管控工作开展情况和管控效果进行考核，结果应纳入月度绩效考核。</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23" w:name="_Toc27936"/>
      <w:r>
        <w:rPr>
          <w:rFonts w:ascii="黑体" w:eastAsia="黑体" w:hAnsi="黑体" w:cs="黑体" w:hint="eastAsia"/>
          <w:sz w:val="32"/>
          <w:szCs w:val="32"/>
        </w:rPr>
        <w:t>6 隐患排查治理</w:t>
      </w:r>
      <w:bookmarkEnd w:id="23"/>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4" w:name="_Toc32042"/>
      <w:r>
        <w:rPr>
          <w:rFonts w:ascii="楷体_GB2312" w:eastAsia="楷体_GB2312" w:hAnsi="楷体_GB2312" w:cs="楷体_GB2312" w:hint="eastAsia"/>
          <w:b/>
          <w:bCs/>
          <w:sz w:val="32"/>
          <w:szCs w:val="32"/>
        </w:rPr>
        <w:t>6.1 隐患分级</w:t>
      </w:r>
      <w:bookmarkEnd w:id="24"/>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煤矿隐患分为重大隐患和一般隐患。</w:t>
      </w:r>
    </w:p>
    <w:p w:rsidR="0091454F" w:rsidRDefault="0091454F" w:rsidP="0091454F">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6.1.1 重大隐患</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重大隐患判定依据《煤矿重大生产安全事故隐患判定标准》（</w:t>
      </w:r>
      <w:r>
        <w:rPr>
          <w:rFonts w:ascii="仿宋_GB2312" w:eastAsia="仿宋_GB2312" w:hAnsi="仿宋_GB2312" w:cs="仿宋_GB2312" w:hint="eastAsia"/>
          <w:color w:val="000000"/>
          <w:sz w:val="32"/>
          <w:szCs w:val="32"/>
        </w:rPr>
        <w:t>原</w:t>
      </w:r>
      <w:r>
        <w:rPr>
          <w:rFonts w:ascii="仿宋_GB2312" w:eastAsia="仿宋_GB2312" w:hAnsi="仿宋_GB2312" w:cs="仿宋_GB2312" w:hint="eastAsia"/>
          <w:sz w:val="32"/>
          <w:szCs w:val="32"/>
        </w:rPr>
        <w:t>国家安全生产监督管理总局令第85号）判定。煤矿应制定重大隐患年度排查计划，并按计划展开排查。</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6.1.2 一般隐患</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除重大隐患之外的为一般隐患，为便于隐患管理，煤矿可根据集团或本矿的实际情况将一般隐患等级进行细分。</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5" w:name="_Toc11085"/>
      <w:r>
        <w:rPr>
          <w:rFonts w:ascii="楷体_GB2312" w:eastAsia="楷体_GB2312" w:hAnsi="楷体_GB2312" w:cs="楷体_GB2312" w:hint="eastAsia"/>
          <w:b/>
          <w:bCs/>
          <w:sz w:val="32"/>
          <w:szCs w:val="32"/>
        </w:rPr>
        <w:t>6.2 隐患类型与专业</w:t>
      </w:r>
      <w:bookmarkEnd w:id="25"/>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隐患类型参照风险类型（见5.1.5）划分。隐患专业划分：井工煤矿按照采掘、机电、运输、通风、地测防治水、冲击地压</w:t>
      </w:r>
      <w:r>
        <w:rPr>
          <w:rFonts w:ascii="仿宋_GB2312" w:eastAsia="仿宋_GB2312" w:hAnsi="仿宋_GB2312" w:cs="仿宋_GB2312" w:hint="eastAsia"/>
          <w:sz w:val="32"/>
          <w:szCs w:val="32"/>
        </w:rPr>
        <w:lastRenderedPageBreak/>
        <w:t>防治、煤与瓦斯突出和其他等专业划分；露天煤矿按照钻孔爆破、采装、机电运输、排土、边坡、疏干排水等专业划分。</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6" w:name="_Toc10958"/>
      <w:r>
        <w:rPr>
          <w:rFonts w:ascii="楷体_GB2312" w:eastAsia="楷体_GB2312" w:hAnsi="楷体_GB2312" w:cs="楷体_GB2312" w:hint="eastAsia"/>
          <w:b/>
          <w:bCs/>
          <w:sz w:val="32"/>
          <w:szCs w:val="32"/>
        </w:rPr>
        <w:t>6.3 排查组织</w:t>
      </w:r>
      <w:bookmarkEnd w:id="26"/>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煤矿应根据组织机构确定不同的排查级别，一般包括：矿级、科室（部门）级、区队（车间）级、班组岗位级。</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煤矿应组织人员定期开展隐患排查工作，隐患排查工作可与风险管控工作相结合。排查周期及范围如下：</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矿长每月至少组织分管负责人及安全、生产、技术等业务科室（部门）、生产组织单位（区队）开展1次覆盖生产各系统和各岗位的事故隐患排查，排查前制定工作方案，明确排查时间、方式、范围、内容和参加人员；</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——煤矿各分管负责人每半月组织相关人员对分管领域至少开展1次全面的事故隐患排查；</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——生产期间，科室（部门）、区队每天安排管理、技术和安检人员进行巡查，对作业区域开展事故隐患排查；</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——班组和岗位作业人员作业过程中随时排查事故隐患。</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7" w:name="_Toc24697"/>
      <w:r>
        <w:rPr>
          <w:rFonts w:ascii="楷体_GB2312" w:eastAsia="楷体_GB2312" w:hAnsi="楷体_GB2312" w:cs="楷体_GB2312" w:hint="eastAsia"/>
          <w:b/>
          <w:bCs/>
          <w:sz w:val="32"/>
          <w:szCs w:val="32"/>
        </w:rPr>
        <w:t>6.4 隐患治理</w:t>
      </w:r>
      <w:bookmarkEnd w:id="27"/>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6.4.1 治理措施</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能够立即治理完成的事故隐患，当班采取措施，及时治理消除，并做好记录；不能立即治理完成的事故隐患，明确治理责任单位（责任人）、治理措施、资金、时限，并组织实施；重大事故隐患由矿长按照责任、措施、资金、时限、预案“五落实”的</w:t>
      </w:r>
      <w:r>
        <w:rPr>
          <w:rFonts w:ascii="仿宋_GB2312" w:eastAsia="仿宋_GB2312" w:hAnsi="仿宋_GB2312" w:cs="仿宋_GB2312" w:hint="eastAsia"/>
          <w:sz w:val="32"/>
          <w:szCs w:val="32"/>
        </w:rPr>
        <w:lastRenderedPageBreak/>
        <w:t>原则，组织制定专项治理方案，并组织实施，并将治理方案按规定及时上报。对治理过程危险性较大的事故隐患（指可能危及治理人员及接近治理区人员安全，如爆炸、人员坠落、坠物、冒顶、电击、机械伤人等），应制定现场处置方案，治理过程中现场有专人指挥，安检员现场监督，并设置警示标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排查发现重大事故隐患后，及时向当地煤矿安全监管监察部门书面报告，并向企业职工代表大会或其常务机构报告。由矿长组织制定专项治理方案并组织实施，治理方案应按规定及时上报当地煤矿安全监管监察部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方案应当包括以下内容：</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——治理的目标和任务；</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——采取的治理方法和措施；</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——经费和物资；</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——机构和人员的责任；</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——治理的时限；</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——治理过程中的风险管控措施（含应急处置）。</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煤矿应建立重大事故隐患信息档案。</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6.4.2分级治理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煤矿应根据隐患的等级实行分级治理。重大隐患由矿长牵头治理，一般隐患根据治理难度和涉及范围，确定责任单位及人员。</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6.4.3隐患验收销号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——煤矿自行排查发现的一般事故隐患完成治理后，由煤矿指定部门、人员负责验收，验收合格后予以销号；</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——负有煤矿安全监管职责的部门和煤矿安全监察机构检查发现的一般事故隐患，按照煤矿自身发现隐患治理的流程销号后，还应采用书面或信息化手段报告发现部门或其委托部门（单位）；</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——重大隐患治理完成后，按照《关于建立煤矿重大事故隐患治理督办制度的通知》（晋应急发〔2019〕188号）执行。</w:t>
      </w:r>
    </w:p>
    <w:p w:rsidR="0091454F" w:rsidRDefault="0091454F" w:rsidP="0091454F">
      <w:pPr>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6.4.4事故隐患督办</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制定、执行隐患提级督办制度，对未按规定时限完成治理以及</w:t>
      </w:r>
      <w:r>
        <w:rPr>
          <w:rFonts w:ascii="仿宋_GB2312" w:eastAsia="仿宋_GB2312" w:hAnsi="仿宋_GB2312" w:cs="仿宋_GB2312" w:hint="eastAsia"/>
          <w:color w:val="000000"/>
          <w:sz w:val="32"/>
          <w:szCs w:val="32"/>
        </w:rPr>
        <w:t>验收未通过</w:t>
      </w:r>
      <w:r>
        <w:rPr>
          <w:rFonts w:ascii="仿宋_GB2312" w:eastAsia="仿宋_GB2312" w:hAnsi="仿宋_GB2312" w:cs="仿宋_GB2312" w:hint="eastAsia"/>
          <w:sz w:val="32"/>
          <w:szCs w:val="32"/>
        </w:rPr>
        <w:t>的隐患应提级督办；煤矿排查出的重大隐患，由煤矿企业自行挂牌督办；煤矿安全监管监察部门检查发现的重大隐患由煤矿及属地煤矿安全监管部门予以挂牌督办，指定责任单位、责任人，隐患治理完成、经验收合格后予以销号，解除挂牌督办。</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8" w:name="_Toc27938"/>
      <w:r>
        <w:rPr>
          <w:rFonts w:ascii="楷体_GB2312" w:eastAsia="楷体_GB2312" w:hAnsi="楷体_GB2312" w:cs="楷体_GB2312" w:hint="eastAsia"/>
          <w:b/>
          <w:bCs/>
          <w:sz w:val="32"/>
          <w:szCs w:val="32"/>
        </w:rPr>
        <w:t>6.5 隐患台账</w:t>
      </w:r>
      <w:bookmarkEnd w:id="28"/>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煤矿应</w:t>
      </w:r>
      <w:r>
        <w:rPr>
          <w:rFonts w:ascii="仿宋_GB2312" w:eastAsia="仿宋_GB2312" w:hAnsi="仿宋_GB2312" w:cs="仿宋_GB2312" w:hint="eastAsia"/>
          <w:sz w:val="32"/>
          <w:szCs w:val="32"/>
        </w:rPr>
        <w:t>对隐患排查的结果进行记录，建立隐患台账（参见附录D），跟踪隐患治理的全过程。</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煤矿隐患台账内容主要包括：排查日期、排查类型、排查人、隐患地点（风险点）、隐患描述、专业、隐患类型、隐患等级、治理措施、责任单位、责任人、治理期限、验收人、销号日期等。</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29" w:name="_Toc8090"/>
      <w:r>
        <w:rPr>
          <w:rFonts w:ascii="楷体_GB2312" w:eastAsia="楷体_GB2312" w:hAnsi="楷体_GB2312" w:cs="楷体_GB2312" w:hint="eastAsia"/>
          <w:b/>
          <w:bCs/>
          <w:sz w:val="32"/>
          <w:szCs w:val="32"/>
        </w:rPr>
        <w:t>6.6 隐患排查治理考核</w:t>
      </w:r>
      <w:bookmarkEnd w:id="29"/>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煤矿应制定隐患排查治理考核制度，对隐患排查和治理情况进行考核，结果应纳入月度绩效考核。</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30" w:name="_Toc6794"/>
      <w:r>
        <w:rPr>
          <w:rFonts w:ascii="黑体" w:eastAsia="黑体" w:hAnsi="黑体" w:cs="黑体" w:hint="eastAsia"/>
          <w:sz w:val="32"/>
          <w:szCs w:val="32"/>
        </w:rPr>
        <w:t>7 公告公示</w:t>
      </w:r>
      <w:bookmarkEnd w:id="30"/>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31" w:name="_Toc24485"/>
      <w:r>
        <w:rPr>
          <w:rFonts w:ascii="楷体_GB2312" w:eastAsia="楷体_GB2312" w:hAnsi="楷体_GB2312" w:cs="楷体_GB2312" w:hint="eastAsia"/>
          <w:b/>
          <w:bCs/>
          <w:sz w:val="32"/>
          <w:szCs w:val="32"/>
        </w:rPr>
        <w:lastRenderedPageBreak/>
        <w:t>7.1 风险公告警示</w:t>
      </w:r>
      <w:bookmarkEnd w:id="31"/>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煤矿应在井口（露天煤矿交接班室）和存在重大安全风险区域的显著位置，公示存在的重大安全风险、管控责任人和主要管控措施。</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32" w:name="_Toc26559"/>
      <w:r>
        <w:rPr>
          <w:rFonts w:ascii="楷体_GB2312" w:eastAsia="楷体_GB2312" w:hAnsi="楷体_GB2312" w:cs="楷体_GB2312" w:hint="eastAsia"/>
          <w:b/>
          <w:bCs/>
          <w:sz w:val="32"/>
          <w:szCs w:val="32"/>
        </w:rPr>
        <w:t>7.2 隐患公示监督</w:t>
      </w:r>
      <w:bookmarkEnd w:id="32"/>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煤矿应及时通报事故隐患情况，包括：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——在井口信息站或其他显著位置，每月向从业人员通报事故隐患分布、治理进展情况；</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发现重大隐患后，应</w:t>
      </w:r>
      <w:r>
        <w:rPr>
          <w:rFonts w:ascii="仿宋_GB2312" w:eastAsia="仿宋_GB2312" w:hAnsi="仿宋_GB2312" w:cs="仿宋_GB2312" w:hint="eastAsia"/>
          <w:sz w:val="32"/>
          <w:szCs w:val="32"/>
        </w:rPr>
        <w:t>在井口（露天煤矿交接班室）或其他显著位置公示重大事故隐患的存在场所、主要内容、挂牌时间、责任人、停产停工范围、整改期限和销号情况；</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——建立事故隐患举报奖励制度，公布事故隐患举报电话、信箱、电子邮箱等，接受从业人员和社会的监督。</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33" w:name="_Toc7586"/>
      <w:r>
        <w:rPr>
          <w:rFonts w:ascii="黑体" w:eastAsia="黑体" w:hAnsi="黑体" w:cs="黑体" w:hint="eastAsia"/>
          <w:sz w:val="32"/>
          <w:szCs w:val="32"/>
        </w:rPr>
        <w:t>8 信息平台建设</w:t>
      </w:r>
      <w:bookmarkEnd w:id="33"/>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34" w:name="_Toc21527"/>
      <w:r>
        <w:rPr>
          <w:rFonts w:ascii="楷体_GB2312" w:eastAsia="楷体_GB2312" w:hAnsi="楷体_GB2312" w:cs="楷体_GB2312" w:hint="eastAsia"/>
          <w:b/>
          <w:bCs/>
          <w:sz w:val="32"/>
          <w:szCs w:val="32"/>
        </w:rPr>
        <w:t>8.1 基本要求</w:t>
      </w:r>
      <w:bookmarkEnd w:id="34"/>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煤矿应采用信息化手段，实现双重预防机制日常运行的信息化管理，至少包括：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——实现对安全风险记录、管控、统计、分析、上报等全过程的信息化管理；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——实现</w:t>
      </w:r>
      <w:bookmarkStart w:id="35" w:name="_Hlk20407378"/>
      <w:r>
        <w:rPr>
          <w:rFonts w:ascii="仿宋_GB2312" w:eastAsia="仿宋_GB2312" w:hAnsi="仿宋_GB2312" w:cs="仿宋_GB2312" w:hint="eastAsia"/>
          <w:sz w:val="32"/>
          <w:szCs w:val="32"/>
        </w:rPr>
        <w:t>对岗位作业流程标准化的记录、培训和考核的信息化管理</w:t>
      </w:r>
      <w:bookmarkEnd w:id="35"/>
      <w:r>
        <w:rPr>
          <w:rFonts w:ascii="仿宋_GB2312" w:eastAsia="仿宋_GB2312" w:hAnsi="仿宋_GB2312" w:cs="仿宋_GB2312" w:hint="eastAsia"/>
          <w:sz w:val="32"/>
          <w:szCs w:val="32"/>
        </w:rPr>
        <w:t>；</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——实现对事故隐患排查治理记录统计、过程跟踪、逾期报</w:t>
      </w:r>
      <w:r>
        <w:rPr>
          <w:rFonts w:ascii="仿宋_GB2312" w:eastAsia="仿宋_GB2312" w:hAnsi="仿宋_GB2312" w:cs="仿宋_GB2312" w:hint="eastAsia"/>
          <w:sz w:val="32"/>
          <w:szCs w:val="32"/>
        </w:rPr>
        <w:lastRenderedPageBreak/>
        <w:t>警、信息上报的信息化管理；</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——实现风险数据库和安全风险管控清单的更新维护功能。</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信息平台需具备风险及隐患的统计分析、风险预警和权限分级管理等功能，实现风险与隐患数据应用的无缝对接。针对风险隐患数据的采集和传递，宜使用移动终端以提高</w:t>
      </w:r>
      <w:r>
        <w:rPr>
          <w:rFonts w:ascii="仿宋_GB2312" w:eastAsia="仿宋_GB2312" w:hAnsi="仿宋_GB2312" w:cs="仿宋_GB2312" w:hint="eastAsia"/>
          <w:color w:val="000000"/>
          <w:sz w:val="32"/>
          <w:szCs w:val="32"/>
        </w:rPr>
        <w:t>安全信息管理的效率</w:t>
      </w:r>
      <w:r>
        <w:rPr>
          <w:rFonts w:ascii="仿宋_GB2312" w:eastAsia="仿宋_GB2312" w:hAnsi="仿宋_GB2312" w:cs="仿宋_GB2312" w:hint="eastAsia"/>
          <w:sz w:val="32"/>
          <w:szCs w:val="32"/>
        </w:rPr>
        <w:t>。</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36" w:name="_Toc8271"/>
      <w:r>
        <w:rPr>
          <w:rFonts w:ascii="楷体_GB2312" w:eastAsia="楷体_GB2312" w:hAnsi="楷体_GB2312" w:cs="楷体_GB2312" w:hint="eastAsia"/>
          <w:b/>
          <w:bCs/>
          <w:sz w:val="32"/>
          <w:szCs w:val="32"/>
        </w:rPr>
        <w:t>8.2 信息上报</w:t>
      </w:r>
      <w:bookmarkEnd w:id="36"/>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煤矿应通过信息平台向煤矿安全监管监察部门报告企业的风险分级管控和隐患排查治理情况，内容包括：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——年度和专项辨识</w:t>
      </w:r>
      <w:r>
        <w:rPr>
          <w:rFonts w:ascii="仿宋_GB2312" w:eastAsia="仿宋_GB2312" w:hAnsi="仿宋_GB2312" w:cs="仿宋_GB2312" w:hint="eastAsia"/>
          <w:color w:val="000000"/>
          <w:sz w:val="32"/>
          <w:szCs w:val="32"/>
        </w:rPr>
        <w:t>完成后，10个工作日内上报辨识</w:t>
      </w:r>
      <w:r>
        <w:rPr>
          <w:rFonts w:ascii="仿宋_GB2312" w:eastAsia="仿宋_GB2312" w:hAnsi="仿宋_GB2312" w:cs="仿宋_GB2312" w:hint="eastAsia"/>
          <w:sz w:val="32"/>
          <w:szCs w:val="32"/>
        </w:rPr>
        <w:t>基本信息，包括：辨识名称、组织人、参与部门、参与人员、辨识时间、</w:t>
      </w:r>
      <w:r>
        <w:rPr>
          <w:rFonts w:ascii="仿宋_GB2312" w:eastAsia="仿宋_GB2312" w:hAnsi="仿宋_GB2312" w:cs="仿宋_GB2312" w:hint="eastAsia"/>
          <w:color w:val="000000"/>
          <w:sz w:val="32"/>
          <w:szCs w:val="32"/>
        </w:rPr>
        <w:t>风险点数量、风险数量、</w:t>
      </w:r>
      <w:r>
        <w:rPr>
          <w:rFonts w:ascii="仿宋_GB2312" w:eastAsia="仿宋_GB2312" w:hAnsi="仿宋_GB2312" w:cs="仿宋_GB2312" w:hint="eastAsia"/>
          <w:sz w:val="32"/>
          <w:szCs w:val="32"/>
        </w:rPr>
        <w:t>重大风险数量等；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每年年底前</w:t>
      </w:r>
      <w:r>
        <w:rPr>
          <w:rFonts w:ascii="仿宋_GB2312" w:eastAsia="仿宋_GB2312" w:hAnsi="仿宋_GB2312" w:cs="仿宋_GB2312" w:hint="eastAsia"/>
          <w:sz w:val="32"/>
          <w:szCs w:val="32"/>
        </w:rPr>
        <w:t>上报本年度的</w:t>
      </w:r>
      <w:r>
        <w:rPr>
          <w:rFonts w:ascii="仿宋_GB2312" w:eastAsia="仿宋_GB2312" w:hAnsi="仿宋_GB2312" w:cs="仿宋_GB2312" w:hint="eastAsia"/>
          <w:color w:val="000000"/>
          <w:sz w:val="32"/>
          <w:szCs w:val="32"/>
        </w:rPr>
        <w:t>运行分析</w:t>
      </w:r>
      <w:r>
        <w:rPr>
          <w:rFonts w:ascii="仿宋_GB2312" w:eastAsia="仿宋_GB2312" w:hAnsi="仿宋_GB2312" w:cs="仿宋_GB2312" w:hint="eastAsia"/>
          <w:sz w:val="32"/>
          <w:szCs w:val="32"/>
        </w:rPr>
        <w:t>报告和下一年度的年度风险辨识报告，以及风险点台账；</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——年度和专项辨识完成后</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上报、更新重大安全风险清单及管控方案；</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——每月上报煤矿月度分析总结报告；</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——排查发现重大隐患后，</w:t>
      </w:r>
      <w:r>
        <w:rPr>
          <w:rFonts w:ascii="仿宋_GB2312" w:eastAsia="仿宋_GB2312" w:hAnsi="仿宋_GB2312" w:cs="仿宋_GB2312" w:hint="eastAsia"/>
          <w:color w:val="000000"/>
          <w:sz w:val="32"/>
          <w:szCs w:val="32"/>
        </w:rPr>
        <w:t>应</w:t>
      </w:r>
      <w:r>
        <w:rPr>
          <w:rFonts w:ascii="仿宋_GB2312" w:eastAsia="仿宋_GB2312" w:hAnsi="仿宋_GB2312" w:cs="仿宋_GB2312" w:hint="eastAsia"/>
          <w:sz w:val="32"/>
          <w:szCs w:val="32"/>
        </w:rPr>
        <w:t>录入信息系统，直接上报。</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37" w:name="_Toc17679"/>
      <w:r>
        <w:rPr>
          <w:rFonts w:ascii="楷体_GB2312" w:eastAsia="楷体_GB2312" w:hAnsi="楷体_GB2312" w:cs="楷体_GB2312" w:hint="eastAsia"/>
          <w:b/>
          <w:bCs/>
          <w:sz w:val="32"/>
          <w:szCs w:val="32"/>
        </w:rPr>
        <w:t>8.3 使用考核</w:t>
      </w:r>
      <w:bookmarkEnd w:id="37"/>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煤矿应将信息平台的使用要求纳入考核。</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38" w:name="_Toc29193"/>
      <w:r>
        <w:rPr>
          <w:rFonts w:ascii="黑体" w:eastAsia="黑体" w:hAnsi="黑体" w:cs="黑体" w:hint="eastAsia"/>
          <w:sz w:val="32"/>
          <w:szCs w:val="32"/>
        </w:rPr>
        <w:t>9 教育培训</w:t>
      </w:r>
      <w:bookmarkEnd w:id="38"/>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煤矿每年应组织员工开展有关双重预防机制安全知识的培</w:t>
      </w:r>
      <w:r>
        <w:rPr>
          <w:rFonts w:ascii="仿宋_GB2312" w:eastAsia="仿宋_GB2312" w:hAnsi="仿宋_GB2312" w:cs="仿宋_GB2312" w:hint="eastAsia"/>
          <w:sz w:val="32"/>
          <w:szCs w:val="32"/>
        </w:rPr>
        <w:lastRenderedPageBreak/>
        <w:t>训，培训内容至少包括：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——年度风险辨识评估前组织对矿长和分管负责人等参与安全风险辨识评估工作的人员开展1次安全风险辨识评估技术培训，且不少于4学时；</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——年度辨识完成1个月内对入井（坑）人员和地面关键岗位人员培训</w:t>
      </w:r>
      <w:r>
        <w:rPr>
          <w:rFonts w:ascii="仿宋_GB2312" w:eastAsia="仿宋_GB2312" w:hAnsi="仿宋_GB2312" w:cs="仿宋_GB2312" w:hint="eastAsia"/>
          <w:color w:val="000000"/>
          <w:sz w:val="32"/>
          <w:szCs w:val="32"/>
        </w:rPr>
        <w:t>与本岗位相关的</w:t>
      </w:r>
      <w:r>
        <w:rPr>
          <w:rFonts w:ascii="仿宋_GB2312" w:eastAsia="仿宋_GB2312" w:hAnsi="仿宋_GB2312" w:cs="仿宋_GB2312" w:hint="eastAsia"/>
          <w:sz w:val="32"/>
          <w:szCs w:val="32"/>
        </w:rPr>
        <w:t>安全风险培训，内容包括重大安全风险清单</w:t>
      </w:r>
      <w:r>
        <w:rPr>
          <w:rFonts w:ascii="仿宋_GB2312" w:eastAsia="仿宋_GB2312" w:hAnsi="仿宋_GB2312" w:cs="仿宋_GB2312" w:hint="eastAsia"/>
          <w:color w:val="000000"/>
          <w:sz w:val="32"/>
          <w:szCs w:val="32"/>
        </w:rPr>
        <w:t>以及与本岗位相关的</w:t>
      </w:r>
      <w:r>
        <w:rPr>
          <w:rFonts w:ascii="仿宋_GB2312" w:eastAsia="仿宋_GB2312" w:hAnsi="仿宋_GB2312" w:cs="仿宋_GB2312" w:hint="eastAsia"/>
          <w:sz w:val="32"/>
          <w:szCs w:val="32"/>
        </w:rPr>
        <w:t>重大安全风险管控措施，且不少于2学时；专项辨识评估完成后1周内，且需在应用前，对相关作业人员进行培训。通过培训，应确保重大安全风险区域作业人员了解相关的重大安全风险管控措施，掌握自身职责并严格落实；</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——每年至少组织矿长、分管负责人、副总工程师及生产、技术、安全科室（部门）相关人员和区队管理人员进行1次事故隐患排查治理专项培训，且不少于4学时</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——每年至少对入井（坑）岗位人员进行事故隐患排查治理基本技能培训，包括事故隐患排查方法、治理流程和要求、所在区（队）作业区域常见事故隐患的识别，且不少于2学时。</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39" w:name="_Toc13084"/>
      <w:r>
        <w:rPr>
          <w:rFonts w:ascii="黑体" w:eastAsia="黑体" w:hAnsi="黑体" w:cs="黑体" w:hint="eastAsia"/>
          <w:sz w:val="32"/>
          <w:szCs w:val="32"/>
        </w:rPr>
        <w:t>10 持续改进</w:t>
      </w:r>
      <w:bookmarkEnd w:id="39"/>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40" w:name="_Toc2771"/>
      <w:r>
        <w:rPr>
          <w:rFonts w:ascii="楷体_GB2312" w:eastAsia="楷体_GB2312" w:hAnsi="楷体_GB2312" w:cs="楷体_GB2312" w:hint="eastAsia"/>
          <w:b/>
          <w:bCs/>
          <w:sz w:val="32"/>
          <w:szCs w:val="32"/>
        </w:rPr>
        <w:t>10.1持续改进类型</w:t>
      </w:r>
      <w:bookmarkEnd w:id="40"/>
    </w:p>
    <w:p w:rsidR="0091454F" w:rsidRDefault="0091454F" w:rsidP="0091454F">
      <w:pPr>
        <w:spacing w:line="600" w:lineRule="exact"/>
        <w:ind w:firstLineChars="200" w:firstLine="643"/>
        <w:outlineLvl w:val="1"/>
        <w:rPr>
          <w:rFonts w:ascii="仿宋_GB2312" w:eastAsia="仿宋_GB2312" w:hAnsi="仿宋_GB2312" w:cs="仿宋_GB2312"/>
          <w:b/>
          <w:bCs/>
          <w:sz w:val="32"/>
          <w:szCs w:val="32"/>
        </w:rPr>
      </w:pPr>
      <w:bookmarkStart w:id="41" w:name="_Toc6670"/>
      <w:r>
        <w:rPr>
          <w:rFonts w:ascii="仿宋_GB2312" w:eastAsia="仿宋_GB2312" w:hAnsi="仿宋_GB2312" w:cs="仿宋_GB2312" w:hint="eastAsia"/>
          <w:b/>
          <w:bCs/>
          <w:sz w:val="32"/>
          <w:szCs w:val="32"/>
        </w:rPr>
        <w:t>10.1.1 每日分析改进</w:t>
      </w:r>
      <w:bookmarkEnd w:id="41"/>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42" w:name="_Toc13229"/>
      <w:r>
        <w:rPr>
          <w:rFonts w:ascii="仿宋_GB2312" w:eastAsia="仿宋_GB2312" w:hAnsi="仿宋_GB2312" w:cs="仿宋_GB2312" w:hint="eastAsia"/>
          <w:sz w:val="32"/>
          <w:szCs w:val="32"/>
        </w:rPr>
        <w:t>隐患的责任部门负责人每日应组织人员分析当天新发现隐患的产生原因，制定改进措施。</w:t>
      </w:r>
      <w:bookmarkEnd w:id="42"/>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发生事故后，矿长（分管负责人）应及时组织安全、业务科</w:t>
      </w:r>
      <w:r>
        <w:rPr>
          <w:rFonts w:ascii="仿宋_GB2312" w:eastAsia="仿宋_GB2312" w:hAnsi="仿宋_GB2312" w:cs="仿宋_GB2312" w:hint="eastAsia"/>
          <w:sz w:val="32"/>
          <w:szCs w:val="32"/>
        </w:rPr>
        <w:lastRenderedPageBreak/>
        <w:t>室（部门）、责任单位和相关责任人，分析事故产生的原因，制定改进措施并落实。</w:t>
      </w:r>
    </w:p>
    <w:p w:rsidR="0091454F" w:rsidRDefault="0091454F" w:rsidP="0091454F">
      <w:pPr>
        <w:spacing w:line="600" w:lineRule="exact"/>
        <w:ind w:firstLineChars="200" w:firstLine="643"/>
        <w:outlineLvl w:val="1"/>
        <w:rPr>
          <w:rFonts w:ascii="仿宋_GB2312" w:eastAsia="仿宋_GB2312" w:hAnsi="仿宋_GB2312" w:cs="仿宋_GB2312"/>
          <w:b/>
          <w:bCs/>
          <w:sz w:val="32"/>
          <w:szCs w:val="32"/>
        </w:rPr>
      </w:pPr>
      <w:bookmarkStart w:id="43" w:name="_Toc12685"/>
      <w:r>
        <w:rPr>
          <w:rFonts w:ascii="仿宋_GB2312" w:eastAsia="仿宋_GB2312" w:hAnsi="仿宋_GB2312" w:cs="仿宋_GB2312" w:hint="eastAsia"/>
          <w:b/>
          <w:bCs/>
          <w:sz w:val="32"/>
          <w:szCs w:val="32"/>
        </w:rPr>
        <w:t>10.1.2隐患持续改进</w:t>
      </w:r>
      <w:bookmarkEnd w:id="43"/>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矿长每月应至少组织分管负责人及安全、生产、技术等业务科室（部门）责任人和生产组织单位责任人（区队长）召开1次月度分析总结会议，对隐患产生的根源进行分析，会议内容包括：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——通报重大隐患的排查治理情况；</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——通报月度隐患排查治理情况，分析隐患产生的根源，并提出改进措施；</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——通报重大安全风险管控措施落实情况；</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——形成月度分析总结报告。</w:t>
      </w:r>
    </w:p>
    <w:p w:rsidR="0091454F" w:rsidRDefault="0091454F" w:rsidP="0091454F">
      <w:pPr>
        <w:spacing w:line="600" w:lineRule="exact"/>
        <w:ind w:firstLineChars="200" w:firstLine="643"/>
        <w:outlineLvl w:val="1"/>
        <w:rPr>
          <w:rFonts w:ascii="仿宋_GB2312" w:eastAsia="仿宋_GB2312" w:hAnsi="仿宋_GB2312" w:cs="仿宋_GB2312"/>
          <w:b/>
          <w:bCs/>
          <w:sz w:val="32"/>
          <w:szCs w:val="32"/>
        </w:rPr>
      </w:pPr>
      <w:bookmarkStart w:id="44" w:name="_Toc13730"/>
      <w:r>
        <w:rPr>
          <w:rFonts w:ascii="仿宋_GB2312" w:eastAsia="仿宋_GB2312" w:hAnsi="仿宋_GB2312" w:cs="仿宋_GB2312" w:hint="eastAsia"/>
          <w:b/>
          <w:bCs/>
          <w:sz w:val="32"/>
          <w:szCs w:val="32"/>
        </w:rPr>
        <w:t>10.1.3 风险持续改进</w:t>
      </w:r>
      <w:bookmarkEnd w:id="44"/>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矿长每季度至少开展1次风险分析总结会议（可与月度会议合并），对风险辨识的全面性、管控的有效性进行总结分析，并结合国家、省、市、县或主体企业出台或修订法律、法规、政策、规定和办法，补充辨识新风险、完善相应的风险管控措施，更新安全风险管控清单，并在该月度分析总结报告中予以体现。对风险的分析总结应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——有风险管控措施，现场未落实； </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——风险管控措施已落实，但没有达到管控要求；</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——风险辨识不全面或未制定管控措施。</w:t>
      </w:r>
    </w:p>
    <w:p w:rsidR="0091454F" w:rsidRDefault="0091454F" w:rsidP="0091454F">
      <w:pPr>
        <w:spacing w:line="600" w:lineRule="exact"/>
        <w:ind w:firstLineChars="200" w:firstLine="643"/>
        <w:outlineLvl w:val="1"/>
        <w:rPr>
          <w:rFonts w:ascii="仿宋_GB2312" w:eastAsia="仿宋_GB2312" w:hAnsi="仿宋_GB2312" w:cs="仿宋_GB2312"/>
          <w:b/>
          <w:bCs/>
          <w:sz w:val="32"/>
          <w:szCs w:val="32"/>
        </w:rPr>
      </w:pPr>
      <w:bookmarkStart w:id="45" w:name="_Toc22134"/>
      <w:r>
        <w:rPr>
          <w:rFonts w:ascii="仿宋_GB2312" w:eastAsia="仿宋_GB2312" w:hAnsi="仿宋_GB2312" w:cs="仿宋_GB2312" w:hint="eastAsia"/>
          <w:b/>
          <w:bCs/>
          <w:sz w:val="32"/>
          <w:szCs w:val="32"/>
        </w:rPr>
        <w:t>10.1.4机制持续改进</w:t>
      </w:r>
      <w:bookmarkEnd w:id="45"/>
    </w:p>
    <w:p w:rsidR="0091454F" w:rsidRDefault="0091454F" w:rsidP="0091454F">
      <w:pPr>
        <w:spacing w:line="60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rPr>
        <w:lastRenderedPageBreak/>
        <w:t>煤矿矿长每年应组织相关业务科室（部门）至少进行1次双重预防机制的运行分析，对煤矿双重预防机制的各项制度与流程在本矿内部执行的有效性和对法律法规、规程、规范、标准及其他相关规定的适宜性进行评价，评估体系实施运行效果，适时调整相关制度、流程、职责分工等内容，并形成双重预防机制年度运行分析报告，用于指导下一年度机制运行。</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46" w:name="_Toc14893"/>
      <w:r>
        <w:rPr>
          <w:rFonts w:ascii="楷体_GB2312" w:eastAsia="楷体_GB2312" w:hAnsi="楷体_GB2312" w:cs="楷体_GB2312" w:hint="eastAsia"/>
          <w:b/>
          <w:bCs/>
          <w:sz w:val="32"/>
          <w:szCs w:val="32"/>
        </w:rPr>
        <w:t>10.2持续改进考核</w:t>
      </w:r>
      <w:bookmarkEnd w:id="46"/>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煤矿应结合持续改进类型建立考核制度，明确考核的内容、形式和标准，并将考核结果纳入安全绩效管理，考核制度应包括：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——考核责任单位；</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——被考核单位及人员职责；</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——考核周期；</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——考核标准。</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47" w:name="_Toc5153"/>
      <w:r>
        <w:rPr>
          <w:rFonts w:ascii="黑体" w:eastAsia="黑体" w:hAnsi="黑体" w:cs="黑体" w:hint="eastAsia"/>
          <w:sz w:val="32"/>
          <w:szCs w:val="32"/>
        </w:rPr>
        <w:t>11 文件管理</w:t>
      </w:r>
      <w:bookmarkEnd w:id="47"/>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48" w:name="_Toc12265"/>
      <w:r>
        <w:rPr>
          <w:rFonts w:ascii="楷体_GB2312" w:eastAsia="楷体_GB2312" w:hAnsi="楷体_GB2312" w:cs="楷体_GB2312" w:hint="eastAsia"/>
          <w:b/>
          <w:bCs/>
          <w:sz w:val="32"/>
          <w:szCs w:val="32"/>
        </w:rPr>
        <w:t>11.1 资料建档</w:t>
      </w:r>
      <w:bookmarkEnd w:id="48"/>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煤矿应完整保存双重预防机制运行的纸质资料或电子资料的记录，并分类建档管理。至少应包括：</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风险点台账、安全风险管控清单、年度和专项辨识评估文件等；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重大隐患排查计划、排查记录、治理方案、治理记录等；</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月度、半月检查记录；</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隐患台账；</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月度分析总结会议记录和报告；</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双重预防机制年度运行分析报告。</w:t>
      </w:r>
    </w:p>
    <w:p w:rsidR="0091454F" w:rsidRDefault="0091454F" w:rsidP="0091454F">
      <w:pPr>
        <w:spacing w:line="600" w:lineRule="exact"/>
        <w:ind w:firstLineChars="200" w:firstLine="643"/>
        <w:rPr>
          <w:rFonts w:ascii="楷体_GB2312" w:eastAsia="楷体_GB2312" w:hAnsi="楷体_GB2312" w:cs="楷体_GB2312"/>
          <w:b/>
          <w:bCs/>
          <w:sz w:val="32"/>
          <w:szCs w:val="32"/>
        </w:rPr>
      </w:pPr>
      <w:bookmarkStart w:id="49" w:name="_Toc29912"/>
      <w:r>
        <w:rPr>
          <w:rFonts w:ascii="楷体_GB2312" w:eastAsia="楷体_GB2312" w:hAnsi="楷体_GB2312" w:cs="楷体_GB2312" w:hint="eastAsia"/>
          <w:b/>
          <w:bCs/>
          <w:sz w:val="32"/>
          <w:szCs w:val="32"/>
        </w:rPr>
        <w:t>11.2 保存期限</w:t>
      </w:r>
      <w:bookmarkEnd w:id="49"/>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年度和专项风险辨识报告、重大事故隐患信息档案至少保存3年，其他风险辨识后和隐患销号后保存1年，其余相关性文件保存1年。</w:t>
      </w:r>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pPr>
      <w:bookmarkStart w:id="50" w:name="_Toc23977"/>
      <w:r>
        <w:rPr>
          <w:rFonts w:ascii="黑体" w:eastAsia="黑体" w:hAnsi="黑体" w:cs="黑体" w:hint="eastAsia"/>
          <w:sz w:val="32"/>
          <w:szCs w:val="32"/>
        </w:rPr>
        <w:t>12 附录</w:t>
      </w:r>
      <w:bookmarkEnd w:id="50"/>
    </w:p>
    <w:p w:rsidR="0091454F" w:rsidRDefault="0091454F" w:rsidP="0091454F">
      <w:pPr>
        <w:autoSpaceDE w:val="0"/>
        <w:autoSpaceDN w:val="0"/>
        <w:spacing w:line="600" w:lineRule="exact"/>
        <w:ind w:firstLineChars="200" w:firstLine="640"/>
        <w:jc w:val="left"/>
        <w:outlineLvl w:val="0"/>
        <w:rPr>
          <w:rFonts w:ascii="黑体" w:eastAsia="黑体" w:hAnsi="黑体" w:cs="黑体"/>
          <w:sz w:val="32"/>
          <w:szCs w:val="32"/>
        </w:rPr>
        <w:sectPr w:rsidR="0091454F">
          <w:footerReference w:type="default" r:id="rId6"/>
          <w:pgSz w:w="11906" w:h="16838"/>
          <w:pgMar w:top="1797" w:right="1531" w:bottom="1797" w:left="1531" w:header="851" w:footer="992" w:gutter="0"/>
          <w:pgNumType w:fmt="numberInDash" w:start="1"/>
          <w:cols w:space="0"/>
          <w:docGrid w:type="lines" w:linePitch="312"/>
        </w:sectPr>
      </w:pPr>
    </w:p>
    <w:p w:rsidR="0091454F" w:rsidRDefault="0091454F" w:rsidP="0091454F">
      <w:pPr>
        <w:spacing w:line="600" w:lineRule="exact"/>
        <w:ind w:firstLineChars="200" w:firstLine="640"/>
        <w:jc w:val="center"/>
        <w:outlineLvl w:val="1"/>
        <w:rPr>
          <w:rFonts w:ascii="黑体" w:eastAsia="黑体" w:hAnsi="黑体" w:cs="黑体"/>
          <w:sz w:val="32"/>
          <w:szCs w:val="32"/>
        </w:rPr>
      </w:pPr>
      <w:bookmarkStart w:id="51" w:name="_Toc15111"/>
      <w:r>
        <w:rPr>
          <w:rFonts w:ascii="黑体" w:eastAsia="黑体" w:hAnsi="黑体" w:cs="黑体" w:hint="eastAsia"/>
          <w:sz w:val="32"/>
          <w:szCs w:val="32"/>
        </w:rPr>
        <w:lastRenderedPageBreak/>
        <w:t>附录A 风险辨识方法（资料性附录）</w:t>
      </w:r>
      <w:bookmarkEnd w:id="51"/>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辨识首先要排查煤矿风险点形成风险点台账，如表A.1所示。根据风险点台账内容对各风险点进行风险辨识，其中设备设施类辨识对象可利用安全检查表法辨识风险，作业活动类辨识对象可利用作业危害分析法辨识风险，作业环境类辨识对象可利用经验分析法辨识风险，其他辨识对象视实际情况自行确定辨识方法。</w:t>
      </w:r>
    </w:p>
    <w:p w:rsidR="0091454F" w:rsidRDefault="0091454F" w:rsidP="0091454F">
      <w:pPr>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附录A.1风险点划分</w:t>
      </w:r>
    </w:p>
    <w:p w:rsidR="0091454F" w:rsidRDefault="0091454F" w:rsidP="0091454F">
      <w:pPr>
        <w:spacing w:line="400" w:lineRule="exact"/>
        <w:jc w:val="center"/>
        <w:rPr>
          <w:rFonts w:ascii="黑体" w:eastAsia="黑体" w:hAnsi="黑体" w:cs="黑体"/>
          <w:sz w:val="24"/>
          <w:szCs w:val="24"/>
        </w:rPr>
      </w:pPr>
      <w:r>
        <w:rPr>
          <w:rFonts w:ascii="黑体" w:eastAsia="黑体" w:hAnsi="黑体" w:cs="黑体" w:hint="eastAsia"/>
          <w:sz w:val="24"/>
          <w:szCs w:val="24"/>
        </w:rPr>
        <w:t>表A.1 风险点台账</w:t>
      </w:r>
    </w:p>
    <w:tbl>
      <w:tblPr>
        <w:tblW w:w="6940" w:type="dxa"/>
        <w:jc w:val="center"/>
        <w:tblLayout w:type="fixed"/>
        <w:tblLook w:val="04A0" w:firstRow="1" w:lastRow="0" w:firstColumn="1" w:lastColumn="0" w:noHBand="0" w:noVBand="1"/>
      </w:tblPr>
      <w:tblGrid>
        <w:gridCol w:w="814"/>
        <w:gridCol w:w="2157"/>
        <w:gridCol w:w="1325"/>
        <w:gridCol w:w="1324"/>
        <w:gridCol w:w="1320"/>
      </w:tblGrid>
      <w:tr w:rsidR="0091454F" w:rsidTr="0045558C">
        <w:trPr>
          <w:trHeight w:val="391"/>
          <w:jc w:val="center"/>
        </w:trPr>
        <w:tc>
          <w:tcPr>
            <w:tcW w:w="814" w:type="dxa"/>
            <w:tcBorders>
              <w:top w:val="single" w:sz="4" w:space="0" w:color="auto"/>
              <w:left w:val="single" w:sz="4" w:space="0" w:color="auto"/>
              <w:bottom w:val="single" w:sz="4" w:space="0" w:color="auto"/>
              <w:right w:val="single" w:sz="4" w:space="0" w:color="auto"/>
            </w:tcBorders>
            <w:vAlign w:val="bottom"/>
          </w:tcPr>
          <w:p w:rsidR="0091454F" w:rsidRDefault="0091454F" w:rsidP="0045558C">
            <w:pPr>
              <w:widowControl/>
              <w:jc w:val="center"/>
              <w:rPr>
                <w:rFonts w:cs="宋体"/>
                <w:b/>
                <w:bCs/>
                <w:color w:val="000000"/>
                <w:kern w:val="0"/>
                <w:sz w:val="22"/>
              </w:rPr>
            </w:pPr>
            <w:r>
              <w:rPr>
                <w:rFonts w:cs="宋体" w:hint="eastAsia"/>
                <w:b/>
                <w:bCs/>
                <w:color w:val="000000"/>
                <w:kern w:val="0"/>
                <w:sz w:val="22"/>
              </w:rPr>
              <w:t>序号</w:t>
            </w:r>
          </w:p>
        </w:tc>
        <w:tc>
          <w:tcPr>
            <w:tcW w:w="2157" w:type="dxa"/>
            <w:tcBorders>
              <w:top w:val="single" w:sz="4" w:space="0" w:color="auto"/>
              <w:left w:val="nil"/>
              <w:bottom w:val="single" w:sz="4" w:space="0" w:color="auto"/>
              <w:right w:val="single" w:sz="4" w:space="0" w:color="auto"/>
            </w:tcBorders>
            <w:vAlign w:val="bottom"/>
          </w:tcPr>
          <w:p w:rsidR="0091454F" w:rsidRDefault="0091454F" w:rsidP="0045558C">
            <w:pPr>
              <w:widowControl/>
              <w:jc w:val="center"/>
              <w:rPr>
                <w:rFonts w:cs="宋体"/>
                <w:b/>
                <w:bCs/>
                <w:color w:val="000000"/>
                <w:kern w:val="0"/>
                <w:sz w:val="22"/>
              </w:rPr>
            </w:pPr>
            <w:r>
              <w:rPr>
                <w:rFonts w:cs="宋体" w:hint="eastAsia"/>
                <w:b/>
                <w:bCs/>
                <w:color w:val="000000"/>
                <w:kern w:val="0"/>
                <w:sz w:val="22"/>
              </w:rPr>
              <w:t>风险点</w:t>
            </w:r>
          </w:p>
        </w:tc>
        <w:tc>
          <w:tcPr>
            <w:tcW w:w="1325" w:type="dxa"/>
            <w:tcBorders>
              <w:top w:val="single" w:sz="4" w:space="0" w:color="auto"/>
              <w:left w:val="nil"/>
              <w:bottom w:val="single" w:sz="4" w:space="0" w:color="auto"/>
              <w:right w:val="single" w:sz="4" w:space="0" w:color="auto"/>
            </w:tcBorders>
            <w:vAlign w:val="bottom"/>
          </w:tcPr>
          <w:p w:rsidR="0091454F" w:rsidRDefault="0091454F" w:rsidP="0045558C">
            <w:pPr>
              <w:widowControl/>
              <w:jc w:val="center"/>
              <w:rPr>
                <w:rFonts w:cs="宋体"/>
                <w:b/>
                <w:bCs/>
                <w:color w:val="000000"/>
                <w:kern w:val="0"/>
                <w:sz w:val="22"/>
              </w:rPr>
            </w:pPr>
            <w:r>
              <w:rPr>
                <w:rFonts w:cs="宋体" w:hint="eastAsia"/>
                <w:b/>
                <w:bCs/>
                <w:color w:val="000000"/>
                <w:kern w:val="0"/>
                <w:sz w:val="22"/>
              </w:rPr>
              <w:t>排查日期</w:t>
            </w:r>
          </w:p>
        </w:tc>
        <w:tc>
          <w:tcPr>
            <w:tcW w:w="1324" w:type="dxa"/>
            <w:tcBorders>
              <w:top w:val="single" w:sz="4" w:space="0" w:color="auto"/>
              <w:left w:val="nil"/>
              <w:bottom w:val="single" w:sz="4" w:space="0" w:color="auto"/>
              <w:right w:val="single" w:sz="4" w:space="0" w:color="auto"/>
            </w:tcBorders>
            <w:vAlign w:val="bottom"/>
          </w:tcPr>
          <w:p w:rsidR="0091454F" w:rsidRDefault="0091454F" w:rsidP="0045558C">
            <w:pPr>
              <w:widowControl/>
              <w:jc w:val="center"/>
              <w:rPr>
                <w:rFonts w:cs="宋体"/>
                <w:b/>
                <w:bCs/>
                <w:color w:val="000000"/>
                <w:kern w:val="0"/>
                <w:sz w:val="22"/>
              </w:rPr>
            </w:pPr>
            <w:r>
              <w:rPr>
                <w:rFonts w:cs="宋体" w:hint="eastAsia"/>
                <w:b/>
                <w:bCs/>
                <w:color w:val="000000"/>
                <w:kern w:val="0"/>
                <w:sz w:val="22"/>
              </w:rPr>
              <w:t>开始日期</w:t>
            </w:r>
          </w:p>
        </w:tc>
        <w:tc>
          <w:tcPr>
            <w:tcW w:w="1320" w:type="dxa"/>
            <w:tcBorders>
              <w:top w:val="single" w:sz="4" w:space="0" w:color="auto"/>
              <w:left w:val="nil"/>
              <w:bottom w:val="single" w:sz="4" w:space="0" w:color="auto"/>
              <w:right w:val="single" w:sz="4" w:space="0" w:color="auto"/>
            </w:tcBorders>
            <w:vAlign w:val="bottom"/>
          </w:tcPr>
          <w:p w:rsidR="0091454F" w:rsidRDefault="0091454F" w:rsidP="0045558C">
            <w:pPr>
              <w:widowControl/>
              <w:jc w:val="center"/>
              <w:rPr>
                <w:rFonts w:cs="宋体"/>
                <w:b/>
                <w:bCs/>
                <w:color w:val="000000"/>
                <w:kern w:val="0"/>
                <w:sz w:val="22"/>
              </w:rPr>
            </w:pPr>
            <w:r>
              <w:rPr>
                <w:rFonts w:cs="宋体" w:hint="eastAsia"/>
                <w:b/>
                <w:bCs/>
                <w:color w:val="000000"/>
                <w:kern w:val="0"/>
                <w:sz w:val="22"/>
              </w:rPr>
              <w:t>解除日期</w:t>
            </w:r>
          </w:p>
        </w:tc>
      </w:tr>
      <w:tr w:rsidR="0091454F" w:rsidTr="0045558C">
        <w:trPr>
          <w:trHeight w:val="391"/>
          <w:jc w:val="center"/>
        </w:trPr>
        <w:tc>
          <w:tcPr>
            <w:tcW w:w="814" w:type="dxa"/>
            <w:tcBorders>
              <w:top w:val="nil"/>
              <w:left w:val="single" w:sz="4" w:space="0" w:color="auto"/>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r>
              <w:rPr>
                <w:rFonts w:cs="宋体" w:hint="eastAsia"/>
                <w:color w:val="000000"/>
                <w:kern w:val="0"/>
                <w:sz w:val="22"/>
              </w:rPr>
              <w:t>1</w:t>
            </w:r>
          </w:p>
        </w:tc>
        <w:tc>
          <w:tcPr>
            <w:tcW w:w="2157" w:type="dxa"/>
            <w:tcBorders>
              <w:top w:val="nil"/>
              <w:left w:val="nil"/>
              <w:bottom w:val="single" w:sz="4" w:space="0" w:color="auto"/>
              <w:right w:val="single" w:sz="4" w:space="0" w:color="auto"/>
            </w:tcBorders>
            <w:vAlign w:val="center"/>
          </w:tcPr>
          <w:p w:rsidR="0091454F" w:rsidRDefault="0091454F" w:rsidP="0045558C">
            <w:pPr>
              <w:widowControl/>
              <w:rPr>
                <w:rFonts w:cs="宋体"/>
                <w:color w:val="000000"/>
                <w:kern w:val="0"/>
                <w:sz w:val="22"/>
              </w:rPr>
            </w:pPr>
            <w:r>
              <w:rPr>
                <w:rFonts w:cs="宋体" w:hint="eastAsia"/>
                <w:color w:val="000000"/>
                <w:kern w:val="0"/>
                <w:sz w:val="22"/>
              </w:rPr>
              <w:t>2305</w:t>
            </w:r>
            <w:r>
              <w:rPr>
                <w:rFonts w:cs="宋体" w:hint="eastAsia"/>
                <w:color w:val="000000"/>
                <w:kern w:val="0"/>
                <w:sz w:val="22"/>
              </w:rPr>
              <w:t>采煤工作面</w:t>
            </w:r>
          </w:p>
        </w:tc>
        <w:tc>
          <w:tcPr>
            <w:tcW w:w="1325"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4"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0"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r>
      <w:tr w:rsidR="0091454F" w:rsidTr="0045558C">
        <w:trPr>
          <w:trHeight w:val="391"/>
          <w:jc w:val="center"/>
        </w:trPr>
        <w:tc>
          <w:tcPr>
            <w:tcW w:w="814" w:type="dxa"/>
            <w:tcBorders>
              <w:top w:val="nil"/>
              <w:left w:val="single" w:sz="4" w:space="0" w:color="auto"/>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r>
              <w:rPr>
                <w:rFonts w:cs="宋体" w:hint="eastAsia"/>
                <w:color w:val="000000"/>
                <w:kern w:val="0"/>
                <w:sz w:val="22"/>
              </w:rPr>
              <w:t>2</w:t>
            </w:r>
          </w:p>
        </w:tc>
        <w:tc>
          <w:tcPr>
            <w:tcW w:w="2157" w:type="dxa"/>
            <w:tcBorders>
              <w:top w:val="nil"/>
              <w:left w:val="nil"/>
              <w:bottom w:val="single" w:sz="4" w:space="0" w:color="auto"/>
              <w:right w:val="single" w:sz="4" w:space="0" w:color="auto"/>
            </w:tcBorders>
            <w:vAlign w:val="center"/>
          </w:tcPr>
          <w:p w:rsidR="0091454F" w:rsidRDefault="0091454F" w:rsidP="0045558C">
            <w:pPr>
              <w:widowControl/>
              <w:rPr>
                <w:rFonts w:cs="宋体"/>
                <w:color w:val="000000"/>
                <w:kern w:val="0"/>
                <w:sz w:val="22"/>
              </w:rPr>
            </w:pPr>
            <w:r>
              <w:rPr>
                <w:rFonts w:cs="宋体" w:hint="eastAsia"/>
                <w:color w:val="000000"/>
                <w:kern w:val="0"/>
                <w:sz w:val="22"/>
              </w:rPr>
              <w:t>井下中央变电所</w:t>
            </w:r>
          </w:p>
        </w:tc>
        <w:tc>
          <w:tcPr>
            <w:tcW w:w="1325"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4"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0"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r>
      <w:tr w:rsidR="0091454F" w:rsidTr="0045558C">
        <w:trPr>
          <w:trHeight w:val="391"/>
          <w:jc w:val="center"/>
        </w:trPr>
        <w:tc>
          <w:tcPr>
            <w:tcW w:w="814" w:type="dxa"/>
            <w:tcBorders>
              <w:top w:val="nil"/>
              <w:left w:val="single" w:sz="4" w:space="0" w:color="auto"/>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r>
              <w:rPr>
                <w:rFonts w:cs="宋体" w:hint="eastAsia"/>
                <w:color w:val="000000"/>
                <w:kern w:val="0"/>
                <w:sz w:val="22"/>
              </w:rPr>
              <w:t>3</w:t>
            </w:r>
          </w:p>
        </w:tc>
        <w:tc>
          <w:tcPr>
            <w:tcW w:w="2157" w:type="dxa"/>
            <w:tcBorders>
              <w:top w:val="nil"/>
              <w:left w:val="nil"/>
              <w:bottom w:val="single" w:sz="4" w:space="0" w:color="auto"/>
              <w:right w:val="single" w:sz="4" w:space="0" w:color="auto"/>
            </w:tcBorders>
            <w:vAlign w:val="center"/>
          </w:tcPr>
          <w:p w:rsidR="0091454F" w:rsidRDefault="0091454F" w:rsidP="0045558C">
            <w:pPr>
              <w:widowControl/>
              <w:rPr>
                <w:rFonts w:cs="宋体"/>
                <w:color w:val="000000"/>
                <w:kern w:val="0"/>
                <w:sz w:val="22"/>
              </w:rPr>
            </w:pPr>
            <w:r>
              <w:rPr>
                <w:rFonts w:cs="宋体" w:hint="eastAsia"/>
                <w:color w:val="000000"/>
                <w:kern w:val="0"/>
                <w:sz w:val="22"/>
              </w:rPr>
              <w:t>水泵房</w:t>
            </w:r>
          </w:p>
        </w:tc>
        <w:tc>
          <w:tcPr>
            <w:tcW w:w="1325"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4"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0"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r>
      <w:tr w:rsidR="0091454F" w:rsidTr="0045558C">
        <w:trPr>
          <w:trHeight w:val="403"/>
          <w:jc w:val="center"/>
        </w:trPr>
        <w:tc>
          <w:tcPr>
            <w:tcW w:w="814" w:type="dxa"/>
            <w:tcBorders>
              <w:top w:val="nil"/>
              <w:left w:val="single" w:sz="4" w:space="0" w:color="auto"/>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2157" w:type="dxa"/>
            <w:tcBorders>
              <w:top w:val="nil"/>
              <w:left w:val="nil"/>
              <w:bottom w:val="single" w:sz="4" w:space="0" w:color="auto"/>
              <w:right w:val="single" w:sz="4" w:space="0" w:color="auto"/>
            </w:tcBorders>
            <w:vAlign w:val="center"/>
          </w:tcPr>
          <w:p w:rsidR="0091454F" w:rsidRDefault="0091454F" w:rsidP="0045558C">
            <w:pPr>
              <w:widowControl/>
              <w:rPr>
                <w:rFonts w:cs="宋体"/>
                <w:color w:val="000000"/>
                <w:kern w:val="0"/>
                <w:sz w:val="22"/>
              </w:rPr>
            </w:pPr>
            <w:r>
              <w:rPr>
                <w:rFonts w:cs="宋体" w:hint="eastAsia"/>
                <w:color w:val="000000"/>
                <w:kern w:val="0"/>
                <w:sz w:val="22"/>
              </w:rPr>
              <w:t>……</w:t>
            </w:r>
          </w:p>
        </w:tc>
        <w:tc>
          <w:tcPr>
            <w:tcW w:w="1325"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4"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c>
          <w:tcPr>
            <w:tcW w:w="1320" w:type="dxa"/>
            <w:tcBorders>
              <w:top w:val="nil"/>
              <w:left w:val="nil"/>
              <w:bottom w:val="single" w:sz="4" w:space="0" w:color="auto"/>
              <w:right w:val="single" w:sz="4" w:space="0" w:color="auto"/>
            </w:tcBorders>
            <w:vAlign w:val="bottom"/>
          </w:tcPr>
          <w:p w:rsidR="0091454F" w:rsidRDefault="0091454F" w:rsidP="0045558C">
            <w:pPr>
              <w:widowControl/>
              <w:jc w:val="center"/>
              <w:rPr>
                <w:rFonts w:cs="宋体"/>
                <w:color w:val="000000"/>
                <w:kern w:val="0"/>
                <w:sz w:val="22"/>
              </w:rPr>
            </w:pPr>
          </w:p>
        </w:tc>
      </w:tr>
    </w:tbl>
    <w:p w:rsidR="0091454F" w:rsidRDefault="0091454F" w:rsidP="0091454F">
      <w:pPr>
        <w:spacing w:line="400" w:lineRule="exact"/>
        <w:rPr>
          <w:rFonts w:ascii="仿宋_GB2312" w:eastAsia="仿宋_GB2312" w:hAnsi="仿宋_GB2312" w:cs="仿宋_GB2312"/>
          <w:sz w:val="24"/>
          <w:szCs w:val="24"/>
        </w:rPr>
      </w:pPr>
    </w:p>
    <w:p w:rsidR="0091454F" w:rsidRDefault="0091454F" w:rsidP="0091454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注：风险点划分原则参考标准正文5.1.2小节。</w:t>
      </w:r>
    </w:p>
    <w:p w:rsidR="0091454F" w:rsidRDefault="0091454F" w:rsidP="0091454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依照下列步骤，形成煤矿的风险点台账：</w:t>
      </w:r>
    </w:p>
    <w:p w:rsidR="0091454F" w:rsidRDefault="0091454F" w:rsidP="0091454F">
      <w:pPr>
        <w:pStyle w:val="10"/>
        <w:numPr>
          <w:ilvl w:val="0"/>
          <w:numId w:val="1"/>
        </w:numPr>
        <w:spacing w:line="400" w:lineRule="exact"/>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划分煤矿内的风险点，包含部位、场所、区域；</w:t>
      </w:r>
    </w:p>
    <w:p w:rsidR="0091454F" w:rsidRDefault="0091454F" w:rsidP="0091454F">
      <w:pPr>
        <w:pStyle w:val="10"/>
        <w:numPr>
          <w:ilvl w:val="0"/>
          <w:numId w:val="1"/>
        </w:numPr>
        <w:spacing w:line="400" w:lineRule="exact"/>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针对某一风险点，完善其相关信息，如排查日期、开始日期、解除日期等。</w:t>
      </w:r>
    </w:p>
    <w:p w:rsidR="0091454F" w:rsidRDefault="0091454F" w:rsidP="0091454F">
      <w:pPr>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附录A.2 安全检查表法</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安</w:t>
      </w:r>
      <w:bookmarkStart w:id="52" w:name="_Hlk30161348"/>
      <w:r>
        <w:rPr>
          <w:rFonts w:ascii="仿宋_GB2312" w:eastAsia="仿宋_GB2312" w:hAnsi="仿宋_GB2312" w:cs="仿宋_GB2312" w:hint="eastAsia"/>
          <w:sz w:val="32"/>
          <w:szCs w:val="32"/>
        </w:rPr>
        <w:t>全检查表法是依据相关的标准、规范，对工程、系统中已知的危险类别、设计缺陷以及与一般工艺设备、操作、管理有关的潜在危险性和有害性进行判别检查，是运用安全系统工程的方法，发现系统以及设备、机器装置和操作管理、工艺、组织措施中的各种不安全因素，列成表格进行分析。</w:t>
      </w:r>
      <w:bookmarkEnd w:id="52"/>
      <w:r>
        <w:rPr>
          <w:rFonts w:ascii="仿宋_GB2312" w:eastAsia="仿宋_GB2312" w:hAnsi="仿宋_GB2312" w:cs="仿宋_GB2312" w:hint="eastAsia"/>
          <w:sz w:val="32"/>
          <w:szCs w:val="32"/>
        </w:rPr>
        <w:t>安全检查表示例如下：</w:t>
      </w:r>
    </w:p>
    <w:p w:rsidR="0091454F" w:rsidRDefault="0091454F" w:rsidP="0091454F">
      <w:pPr>
        <w:spacing w:line="400" w:lineRule="exact"/>
        <w:jc w:val="center"/>
        <w:rPr>
          <w:rFonts w:ascii="黑体" w:eastAsia="黑体" w:hAnsi="黑体" w:cs="黑体"/>
          <w:sz w:val="24"/>
          <w:szCs w:val="24"/>
        </w:rPr>
      </w:pPr>
    </w:p>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表A.2 安全检查表法示例</w:t>
      </w:r>
    </w:p>
    <w:tbl>
      <w:tblPr>
        <w:tblW w:w="14412" w:type="dxa"/>
        <w:jc w:val="center"/>
        <w:tblInd w:w="-349" w:type="dxa"/>
        <w:tblLayout w:type="fixed"/>
        <w:tblLook w:val="04A0" w:firstRow="1" w:lastRow="0" w:firstColumn="1" w:lastColumn="0" w:noHBand="0" w:noVBand="1"/>
      </w:tblPr>
      <w:tblGrid>
        <w:gridCol w:w="875"/>
        <w:gridCol w:w="975"/>
        <w:gridCol w:w="1050"/>
        <w:gridCol w:w="1225"/>
        <w:gridCol w:w="1125"/>
        <w:gridCol w:w="2862"/>
        <w:gridCol w:w="1134"/>
        <w:gridCol w:w="3715"/>
        <w:gridCol w:w="1451"/>
      </w:tblGrid>
      <w:tr w:rsidR="0091454F" w:rsidTr="0045558C">
        <w:trPr>
          <w:trHeight w:val="81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序号</w:t>
            </w:r>
          </w:p>
        </w:tc>
        <w:tc>
          <w:tcPr>
            <w:tcW w:w="97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风险点</w:t>
            </w:r>
          </w:p>
        </w:tc>
        <w:tc>
          <w:tcPr>
            <w:tcW w:w="1050"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辨识</w:t>
            </w:r>
          </w:p>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对象</w:t>
            </w:r>
          </w:p>
        </w:tc>
        <w:tc>
          <w:tcPr>
            <w:tcW w:w="122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检查项目</w:t>
            </w:r>
          </w:p>
        </w:tc>
        <w:tc>
          <w:tcPr>
            <w:tcW w:w="112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w:t>
            </w:r>
          </w:p>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类型</w:t>
            </w:r>
          </w:p>
        </w:tc>
        <w:tc>
          <w:tcPr>
            <w:tcW w:w="286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风险描述</w:t>
            </w:r>
          </w:p>
        </w:tc>
        <w:tc>
          <w:tcPr>
            <w:tcW w:w="11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w:t>
            </w:r>
          </w:p>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等级</w:t>
            </w:r>
          </w:p>
        </w:tc>
        <w:tc>
          <w:tcPr>
            <w:tcW w:w="371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管控措施</w:t>
            </w:r>
          </w:p>
        </w:tc>
        <w:tc>
          <w:tcPr>
            <w:tcW w:w="1451"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责任岗位</w:t>
            </w:r>
          </w:p>
        </w:tc>
      </w:tr>
      <w:tr w:rsidR="0091454F" w:rsidTr="0045558C">
        <w:trPr>
          <w:trHeight w:val="1590"/>
          <w:jc w:val="center"/>
        </w:trPr>
        <w:tc>
          <w:tcPr>
            <w:tcW w:w="875"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1</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2305</w:t>
            </w:r>
            <w:r>
              <w:rPr>
                <w:rFonts w:cs="宋体" w:hint="eastAsia"/>
                <w:color w:val="000000"/>
                <w:kern w:val="0"/>
                <w:sz w:val="24"/>
                <w:szCs w:val="24"/>
              </w:rPr>
              <w:t>采煤工作面</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采煤机</w:t>
            </w:r>
          </w:p>
        </w:tc>
        <w:tc>
          <w:tcPr>
            <w:tcW w:w="12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滚筒</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物体</w:t>
            </w:r>
          </w:p>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打击</w:t>
            </w:r>
          </w:p>
        </w:tc>
        <w:tc>
          <w:tcPr>
            <w:tcW w:w="286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采煤机滚筒存在物体打击伤人的风险</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风险</w:t>
            </w:r>
          </w:p>
        </w:tc>
        <w:tc>
          <w:tcPr>
            <w:tcW w:w="371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截齿完好，不缺齿。</w:t>
            </w:r>
            <w:r>
              <w:rPr>
                <w:rFonts w:cs="宋体" w:hint="eastAsia"/>
                <w:color w:val="000000"/>
                <w:kern w:val="0"/>
                <w:sz w:val="24"/>
                <w:szCs w:val="24"/>
              </w:rPr>
              <w:br/>
              <w:t>2.</w:t>
            </w:r>
            <w:r>
              <w:rPr>
                <w:rFonts w:cs="宋体" w:hint="eastAsia"/>
                <w:color w:val="000000"/>
                <w:kern w:val="0"/>
                <w:sz w:val="24"/>
                <w:szCs w:val="24"/>
              </w:rPr>
              <w:t>现场作业人员站位符合规定。</w:t>
            </w:r>
          </w:p>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3</w:t>
            </w:r>
            <w:r>
              <w:rPr>
                <w:rFonts w:cs="宋体"/>
                <w:color w:val="000000"/>
                <w:kern w:val="0"/>
                <w:sz w:val="24"/>
                <w:szCs w:val="24"/>
              </w:rPr>
              <w:t>.</w:t>
            </w:r>
            <w:r>
              <w:rPr>
                <w:rFonts w:cs="宋体"/>
                <w:color w:val="000000"/>
                <w:kern w:val="0"/>
                <w:sz w:val="24"/>
                <w:szCs w:val="24"/>
              </w:rPr>
              <w:t>割煤期间除采煤机司机外，采煤机</w:t>
            </w:r>
            <w:r>
              <w:rPr>
                <w:rFonts w:cs="宋体"/>
                <w:color w:val="000000"/>
                <w:kern w:val="0"/>
                <w:sz w:val="24"/>
                <w:szCs w:val="24"/>
              </w:rPr>
              <w:t>5m</w:t>
            </w:r>
            <w:r>
              <w:rPr>
                <w:rFonts w:cs="宋体"/>
                <w:color w:val="000000"/>
                <w:kern w:val="0"/>
                <w:sz w:val="24"/>
                <w:szCs w:val="24"/>
              </w:rPr>
              <w:t>范围内不得有其他人员。</w:t>
            </w:r>
          </w:p>
        </w:tc>
        <w:tc>
          <w:tcPr>
            <w:tcW w:w="1451"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采煤机司机</w:t>
            </w:r>
          </w:p>
        </w:tc>
      </w:tr>
      <w:tr w:rsidR="0091454F" w:rsidTr="0045558C">
        <w:trPr>
          <w:trHeight w:val="1068"/>
          <w:jc w:val="center"/>
        </w:trPr>
        <w:tc>
          <w:tcPr>
            <w:tcW w:w="875"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2</w:t>
            </w:r>
          </w:p>
        </w:tc>
        <w:tc>
          <w:tcPr>
            <w:tcW w:w="975"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050"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2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电缆</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触电</w:t>
            </w:r>
          </w:p>
        </w:tc>
        <w:tc>
          <w:tcPr>
            <w:tcW w:w="286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采煤机电缆存在触电伤人的风险</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风险</w:t>
            </w:r>
          </w:p>
        </w:tc>
        <w:tc>
          <w:tcPr>
            <w:tcW w:w="371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采煤机电缆夹完好。</w:t>
            </w:r>
            <w:r>
              <w:rPr>
                <w:rFonts w:cs="宋体" w:hint="eastAsia"/>
                <w:color w:val="000000"/>
                <w:kern w:val="0"/>
                <w:sz w:val="24"/>
                <w:szCs w:val="24"/>
              </w:rPr>
              <w:br/>
              <w:t>2.</w:t>
            </w:r>
            <w:r>
              <w:rPr>
                <w:rFonts w:cs="宋体" w:hint="eastAsia"/>
                <w:color w:val="000000"/>
                <w:kern w:val="0"/>
                <w:sz w:val="24"/>
                <w:szCs w:val="24"/>
              </w:rPr>
              <w:t>电缆保护装置齐全、完好。</w:t>
            </w:r>
          </w:p>
        </w:tc>
        <w:tc>
          <w:tcPr>
            <w:tcW w:w="1451"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采煤机司机</w:t>
            </w:r>
          </w:p>
        </w:tc>
      </w:tr>
      <w:tr w:rsidR="0091454F" w:rsidTr="0045558C">
        <w:trPr>
          <w:trHeight w:val="685"/>
          <w:jc w:val="center"/>
        </w:trPr>
        <w:tc>
          <w:tcPr>
            <w:tcW w:w="875"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3</w:t>
            </w:r>
          </w:p>
        </w:tc>
        <w:tc>
          <w:tcPr>
            <w:tcW w:w="975"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050"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2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286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371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451"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r>
      <w:tr w:rsidR="0091454F" w:rsidTr="0045558C">
        <w:trPr>
          <w:trHeight w:val="103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lastRenderedPageBreak/>
              <w:t>4</w:t>
            </w: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刮板输送机</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链条</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机械伤害</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刮板机运行期间存在飘链、断链机械伤人的风险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风险</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刮板机平直。</w:t>
            </w:r>
            <w:r>
              <w:rPr>
                <w:rFonts w:cs="宋体" w:hint="eastAsia"/>
                <w:color w:val="000000"/>
                <w:kern w:val="0"/>
                <w:sz w:val="24"/>
                <w:szCs w:val="24"/>
              </w:rPr>
              <w:br/>
              <w:t>2.</w:t>
            </w:r>
            <w:r>
              <w:rPr>
                <w:rFonts w:cs="宋体" w:hint="eastAsia"/>
                <w:color w:val="000000"/>
                <w:kern w:val="0"/>
                <w:sz w:val="24"/>
                <w:szCs w:val="24"/>
              </w:rPr>
              <w:t>电机运行同步，完好无故障。</w:t>
            </w:r>
            <w:r>
              <w:rPr>
                <w:rFonts w:cs="宋体" w:hint="eastAsia"/>
                <w:color w:val="000000"/>
                <w:kern w:val="0"/>
                <w:sz w:val="24"/>
                <w:szCs w:val="24"/>
              </w:rPr>
              <w:br/>
              <w:t>3.</w:t>
            </w:r>
            <w:r>
              <w:rPr>
                <w:rFonts w:cs="宋体" w:hint="eastAsia"/>
                <w:color w:val="000000"/>
                <w:kern w:val="0"/>
                <w:sz w:val="24"/>
                <w:szCs w:val="24"/>
              </w:rPr>
              <w:t>刮板机槽内无铁器等杂物进入。</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刮板输送机司机</w:t>
            </w:r>
          </w:p>
        </w:tc>
      </w:tr>
      <w:tr w:rsidR="0091454F" w:rsidTr="0045558C">
        <w:trPr>
          <w:trHeight w:val="1320"/>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5</w:t>
            </w: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left"/>
              <w:rPr>
                <w:rFonts w:cs="宋体"/>
                <w:color w:val="000000"/>
                <w:kern w:val="0"/>
                <w:sz w:val="24"/>
                <w:szCs w:val="24"/>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left"/>
              <w:rPr>
                <w:rFonts w:cs="宋体"/>
                <w:color w:val="000000"/>
                <w:kern w:val="0"/>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溜尾</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火灾</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刮板机运行期间存在回煤，导致高温发生火灾的风险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较大</w:t>
            </w:r>
          </w:p>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风险</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溜尾回煤及时清理。</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刮板输送机司机</w:t>
            </w:r>
          </w:p>
        </w:tc>
      </w:tr>
      <w:tr w:rsidR="0091454F" w:rsidTr="0045558C">
        <w:trPr>
          <w:trHeight w:val="616"/>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r>
      <w:tr w:rsidR="0091454F" w:rsidTr="0045558C">
        <w:trPr>
          <w:trHeight w:val="571"/>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spacing w:line="260" w:lineRule="exact"/>
              <w:jc w:val="center"/>
              <w:rPr>
                <w:rFonts w:cs="宋体"/>
                <w:color w:val="000000"/>
                <w:kern w:val="0"/>
                <w:sz w:val="24"/>
                <w:szCs w:val="24"/>
              </w:rPr>
            </w:pPr>
            <w:r>
              <w:rPr>
                <w:rFonts w:cs="宋体" w:hint="eastAsia"/>
                <w:color w:val="000000"/>
                <w:kern w:val="0"/>
                <w:sz w:val="24"/>
                <w:szCs w:val="24"/>
              </w:rPr>
              <w:t>……</w:t>
            </w:r>
          </w:p>
        </w:tc>
      </w:tr>
    </w:tbl>
    <w:p w:rsidR="0091454F" w:rsidRDefault="0091454F" w:rsidP="0091454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现在以表A.2为例对2305采煤工作面中设备设施类辨识对象进行风险辨识，利用安全检查表法辨识步骤如下（续接风险点台账步骤）：</w:t>
      </w:r>
    </w:p>
    <w:p w:rsidR="0091454F" w:rsidRDefault="0091454F" w:rsidP="0091454F">
      <w:pPr>
        <w:pStyle w:val="10"/>
        <w:numPr>
          <w:ilvl w:val="0"/>
          <w:numId w:val="1"/>
        </w:numPr>
        <w:spacing w:line="400" w:lineRule="exact"/>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利用安全检查表法将采煤机分为不同的“检查项目”，如：滚筒、电缆等。</w:t>
      </w:r>
    </w:p>
    <w:p w:rsidR="0091454F" w:rsidRDefault="0091454F" w:rsidP="0091454F">
      <w:pPr>
        <w:pStyle w:val="10"/>
        <w:numPr>
          <w:ilvl w:val="0"/>
          <w:numId w:val="1"/>
        </w:numPr>
        <w:spacing w:line="400" w:lineRule="exact"/>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对采煤机的检查项目依次进行风险辨识，首先确定其主要的风险类型，如滚筒→物体打击，挡煤板→物体打击，……。</w:t>
      </w:r>
    </w:p>
    <w:p w:rsidR="0091454F" w:rsidRDefault="0091454F" w:rsidP="0091454F">
      <w:pPr>
        <w:pStyle w:val="10"/>
        <w:numPr>
          <w:ilvl w:val="0"/>
          <w:numId w:val="1"/>
        </w:numPr>
        <w:spacing w:line="400" w:lineRule="exact"/>
        <w:ind w:firstLineChars="0"/>
        <w:rPr>
          <w:rFonts w:ascii="仿宋_GB2312" w:eastAsia="仿宋_GB2312" w:hAnsi="仿宋_GB2312" w:cs="仿宋_GB2312"/>
          <w:sz w:val="24"/>
          <w:szCs w:val="24"/>
        </w:rPr>
      </w:pPr>
      <w:r>
        <w:rPr>
          <w:rFonts w:ascii="仿宋_GB2312" w:eastAsia="仿宋_GB2312" w:hAnsi="仿宋_GB2312" w:cs="仿宋_GB2312" w:hint="eastAsia"/>
          <w:sz w:val="24"/>
          <w:szCs w:val="24"/>
        </w:rPr>
        <w:t>对风险类型相应的风险进行描述，描述内容需让现场检查人员容易理解且语言简洁，可采用固定句型描述，如：对“物体打击”进行风险描述：采煤机滚筒存在物体打击伤人的风险（辨识对象+检查项目+风险类型+事故后果）；……。</w:t>
      </w:r>
    </w:p>
    <w:p w:rsidR="0091454F" w:rsidRDefault="0091454F" w:rsidP="0091454F">
      <w:pPr>
        <w:pStyle w:val="10"/>
        <w:numPr>
          <w:ilvl w:val="0"/>
          <w:numId w:val="1"/>
        </w:numPr>
        <w:spacing w:line="400" w:lineRule="exact"/>
        <w:ind w:firstLineChars="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评估风险等级，参考附录B风险评估方法对辨识出的风险进行评估，确定其等级。</w:t>
      </w:r>
    </w:p>
    <w:p w:rsidR="0091454F" w:rsidRDefault="0091454F" w:rsidP="0091454F">
      <w:pPr>
        <w:pStyle w:val="10"/>
        <w:numPr>
          <w:ilvl w:val="0"/>
          <w:numId w:val="1"/>
        </w:numPr>
        <w:spacing w:line="400" w:lineRule="exact"/>
        <w:ind w:firstLineChars="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针对辨识出的风险制定相应的管控措施并确定其责任岗位后，补充该表的后项内容。</w:t>
      </w:r>
    </w:p>
    <w:p w:rsidR="0091454F" w:rsidRDefault="0091454F" w:rsidP="0091454F">
      <w:pPr>
        <w:pStyle w:val="10"/>
        <w:spacing w:line="400" w:lineRule="exact"/>
        <w:ind w:firstLineChars="0" w:firstLine="0"/>
        <w:rPr>
          <w:rFonts w:ascii="仿宋_GB2312" w:eastAsia="仿宋_GB2312" w:hAnsi="仿宋_GB2312" w:cs="仿宋_GB2312"/>
          <w:color w:val="000000"/>
          <w:sz w:val="24"/>
          <w:szCs w:val="24"/>
        </w:rPr>
      </w:pPr>
    </w:p>
    <w:p w:rsidR="0091454F" w:rsidRDefault="0091454F" w:rsidP="0091454F">
      <w:pPr>
        <w:pStyle w:val="10"/>
        <w:spacing w:line="400" w:lineRule="exact"/>
        <w:ind w:firstLineChars="0" w:firstLine="0"/>
        <w:rPr>
          <w:rFonts w:ascii="宋体" w:eastAsia="宋体" w:hAnsi="宋体"/>
          <w:color w:val="000000"/>
          <w:sz w:val="24"/>
          <w:szCs w:val="24"/>
        </w:rPr>
      </w:pPr>
    </w:p>
    <w:p w:rsidR="0091454F" w:rsidRDefault="0091454F" w:rsidP="0091454F">
      <w:pPr>
        <w:pStyle w:val="10"/>
        <w:spacing w:line="400" w:lineRule="exact"/>
        <w:ind w:firstLineChars="0" w:firstLine="0"/>
        <w:rPr>
          <w:rFonts w:ascii="宋体" w:eastAsia="宋体" w:hAnsi="宋体"/>
          <w:color w:val="000000"/>
          <w:szCs w:val="21"/>
        </w:rPr>
      </w:pPr>
    </w:p>
    <w:p w:rsidR="0091454F" w:rsidRDefault="0091454F" w:rsidP="0091454F">
      <w:pPr>
        <w:pStyle w:val="10"/>
        <w:spacing w:line="400" w:lineRule="exact"/>
        <w:ind w:firstLineChars="0" w:firstLine="0"/>
        <w:rPr>
          <w:rFonts w:ascii="宋体" w:eastAsia="宋体" w:hAnsi="宋体"/>
          <w:color w:val="000000"/>
          <w:szCs w:val="21"/>
        </w:rPr>
      </w:pPr>
    </w:p>
    <w:p w:rsidR="0091454F" w:rsidRDefault="0091454F" w:rsidP="0091454F">
      <w:pPr>
        <w:spacing w:line="400" w:lineRule="exact"/>
        <w:rPr>
          <w:rFonts w:ascii="宋体" w:hAnsi="宋体"/>
          <w:b/>
          <w:bCs/>
          <w:szCs w:val="21"/>
        </w:rPr>
      </w:pPr>
      <w:r>
        <w:rPr>
          <w:rFonts w:ascii="宋体" w:hAnsi="宋体" w:hint="eastAsia"/>
          <w:b/>
          <w:bCs/>
          <w:szCs w:val="21"/>
        </w:rPr>
        <w:lastRenderedPageBreak/>
        <w:br w:type="page"/>
      </w:r>
    </w:p>
    <w:p w:rsidR="0091454F" w:rsidRDefault="0091454F" w:rsidP="0091454F">
      <w:pPr>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附录A.3 经验分析法</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53" w:name="_Hlk30161796"/>
      <w:r>
        <w:rPr>
          <w:rFonts w:ascii="仿宋_GB2312" w:eastAsia="仿宋_GB2312" w:hAnsi="仿宋_GB2312" w:cs="仿宋_GB2312" w:hint="eastAsia"/>
          <w:sz w:val="32"/>
          <w:szCs w:val="32"/>
        </w:rPr>
        <w:t>经验分析方法是与理论分析方法相对，</w:t>
      </w:r>
      <w:bookmarkEnd w:id="53"/>
      <w:r>
        <w:rPr>
          <w:rFonts w:ascii="仿宋_GB2312" w:eastAsia="仿宋_GB2312" w:hAnsi="仿宋_GB2312" w:cs="仿宋_GB2312" w:hint="eastAsia"/>
          <w:sz w:val="32"/>
          <w:szCs w:val="32"/>
        </w:rPr>
        <w:t>是指主要以经验知识为依据和手段而分析认识事物的一种科学分析方法。该方法需重视发挥集体智慧的作用，利用安全、技术人员的实际工作经验分析风险点存在的辨识对象，是对企业安全风险清单的重要补充，经验分析法示例如下：</w:t>
      </w:r>
    </w:p>
    <w:p w:rsidR="0091454F" w:rsidRDefault="0091454F" w:rsidP="0091454F">
      <w:pPr>
        <w:spacing w:line="600" w:lineRule="exact"/>
        <w:ind w:firstLineChars="200" w:firstLine="640"/>
        <w:rPr>
          <w:rFonts w:ascii="仿宋_GB2312" w:eastAsia="仿宋_GB2312" w:hAnsi="仿宋_GB2312" w:cs="仿宋_GB2312"/>
          <w:sz w:val="32"/>
          <w:szCs w:val="32"/>
        </w:rPr>
      </w:pPr>
    </w:p>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表A.3经验分析法示例</w:t>
      </w:r>
    </w:p>
    <w:tbl>
      <w:tblPr>
        <w:tblW w:w="14001" w:type="dxa"/>
        <w:tblLayout w:type="fixed"/>
        <w:tblLook w:val="04A0" w:firstRow="1" w:lastRow="0" w:firstColumn="1" w:lastColumn="0" w:noHBand="0" w:noVBand="1"/>
      </w:tblPr>
      <w:tblGrid>
        <w:gridCol w:w="636"/>
        <w:gridCol w:w="978"/>
        <w:gridCol w:w="1149"/>
        <w:gridCol w:w="1093"/>
        <w:gridCol w:w="1264"/>
        <w:gridCol w:w="3104"/>
        <w:gridCol w:w="1121"/>
        <w:gridCol w:w="3534"/>
        <w:gridCol w:w="1122"/>
      </w:tblGrid>
      <w:tr w:rsidR="0091454F" w:rsidTr="0045558C">
        <w:trPr>
          <w:trHeight w:val="82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序号</w:t>
            </w:r>
          </w:p>
        </w:tc>
        <w:tc>
          <w:tcPr>
            <w:tcW w:w="97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风险点</w:t>
            </w:r>
          </w:p>
        </w:tc>
        <w:tc>
          <w:tcPr>
            <w:tcW w:w="1149"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辨识</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对象</w:t>
            </w:r>
          </w:p>
        </w:tc>
        <w:tc>
          <w:tcPr>
            <w:tcW w:w="1093"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检查</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项目</w:t>
            </w:r>
          </w:p>
        </w:tc>
        <w:tc>
          <w:tcPr>
            <w:tcW w:w="126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风险类型</w:t>
            </w:r>
          </w:p>
        </w:tc>
        <w:tc>
          <w:tcPr>
            <w:tcW w:w="310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风险描述</w:t>
            </w:r>
          </w:p>
        </w:tc>
        <w:tc>
          <w:tcPr>
            <w:tcW w:w="1121"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等级</w:t>
            </w:r>
          </w:p>
        </w:tc>
        <w:tc>
          <w:tcPr>
            <w:tcW w:w="35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left"/>
              <w:rPr>
                <w:rFonts w:ascii="黑体" w:eastAsia="黑体" w:hAnsi="黑体" w:cs="黑体"/>
                <w:color w:val="000000"/>
                <w:kern w:val="0"/>
                <w:sz w:val="24"/>
                <w:szCs w:val="24"/>
              </w:rPr>
            </w:pPr>
            <w:r>
              <w:rPr>
                <w:rFonts w:ascii="黑体" w:eastAsia="黑体" w:hAnsi="黑体" w:cs="黑体" w:hint="eastAsia"/>
                <w:color w:val="000000"/>
                <w:kern w:val="0"/>
                <w:sz w:val="24"/>
                <w:szCs w:val="24"/>
              </w:rPr>
              <w:t xml:space="preserve">管控措施 </w:t>
            </w:r>
          </w:p>
        </w:tc>
        <w:tc>
          <w:tcPr>
            <w:tcW w:w="112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责任</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岗位</w:t>
            </w:r>
          </w:p>
        </w:tc>
      </w:tr>
      <w:tr w:rsidR="0091454F" w:rsidTr="0045558C">
        <w:trPr>
          <w:trHeight w:val="774"/>
        </w:trPr>
        <w:tc>
          <w:tcPr>
            <w:tcW w:w="636"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2305</w:t>
            </w:r>
            <w:r>
              <w:rPr>
                <w:rFonts w:cs="宋体" w:hint="eastAsia"/>
                <w:color w:val="000000"/>
                <w:kern w:val="0"/>
                <w:sz w:val="24"/>
                <w:szCs w:val="24"/>
              </w:rPr>
              <w:t>采煤工作面</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瓦斯</w:t>
            </w:r>
          </w:p>
        </w:tc>
        <w:tc>
          <w:tcPr>
            <w:tcW w:w="1093"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回风</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隅角</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瓦斯爆炸、中毒和窒息</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回风隅角存在瓦斯积聚导致瓦斯爆炸及人员中毒和窒息的风险</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较大</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瓦斯探测器悬挂正确，数据正常。</w:t>
            </w:r>
          </w:p>
        </w:tc>
        <w:tc>
          <w:tcPr>
            <w:tcW w:w="112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瓦检工</w:t>
            </w:r>
          </w:p>
        </w:tc>
      </w:tr>
      <w:tr w:rsidR="0091454F" w:rsidTr="0045558C">
        <w:trPr>
          <w:trHeight w:val="1523"/>
        </w:trPr>
        <w:tc>
          <w:tcPr>
            <w:tcW w:w="636"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2</w:t>
            </w: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64"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3104"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1"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2.</w:t>
            </w:r>
            <w:r>
              <w:rPr>
                <w:rFonts w:cs="宋体" w:hint="eastAsia"/>
                <w:color w:val="000000"/>
                <w:kern w:val="0"/>
                <w:sz w:val="24"/>
                <w:szCs w:val="24"/>
              </w:rPr>
              <w:t>端头瓦抽管路完整无变形，顶帮支护完好，不受挤压。</w:t>
            </w:r>
          </w:p>
          <w:p w:rsidR="0091454F" w:rsidRDefault="0091454F" w:rsidP="0045558C">
            <w:pPr>
              <w:widowControl/>
              <w:rPr>
                <w:rFonts w:cs="宋体"/>
                <w:color w:val="000000"/>
                <w:kern w:val="0"/>
                <w:sz w:val="24"/>
                <w:szCs w:val="24"/>
              </w:rPr>
            </w:pPr>
            <w:r>
              <w:rPr>
                <w:rFonts w:cs="宋体"/>
                <w:color w:val="000000"/>
                <w:kern w:val="0"/>
                <w:sz w:val="24"/>
                <w:szCs w:val="24"/>
              </w:rPr>
              <w:t>3.</w:t>
            </w:r>
            <w:r>
              <w:rPr>
                <w:rFonts w:cs="宋体"/>
                <w:color w:val="000000"/>
                <w:kern w:val="0"/>
                <w:sz w:val="24"/>
                <w:szCs w:val="24"/>
              </w:rPr>
              <w:t>回风巷隅角正确使用导风帘，确保瓦斯浓度得到有效稀释。</w:t>
            </w:r>
          </w:p>
        </w:tc>
        <w:tc>
          <w:tcPr>
            <w:tcW w:w="112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支护工</w:t>
            </w:r>
          </w:p>
        </w:tc>
      </w:tr>
      <w:tr w:rsidR="0091454F" w:rsidTr="0045558C">
        <w:trPr>
          <w:trHeight w:val="1411"/>
        </w:trPr>
        <w:tc>
          <w:tcPr>
            <w:tcW w:w="636"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3</w:t>
            </w: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进风</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隅角</w:t>
            </w:r>
          </w:p>
        </w:tc>
        <w:tc>
          <w:tcPr>
            <w:tcW w:w="126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瓦斯爆炸、中毒和窒息</w:t>
            </w:r>
          </w:p>
        </w:tc>
        <w:tc>
          <w:tcPr>
            <w:tcW w:w="310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进风隅角存在瓦斯积聚导致瓦斯爆炸及人员中毒和窒息的风险</w:t>
            </w:r>
          </w:p>
        </w:tc>
        <w:tc>
          <w:tcPr>
            <w:tcW w:w="1121"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较大</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5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color w:val="000000"/>
                <w:kern w:val="0"/>
                <w:sz w:val="24"/>
                <w:szCs w:val="24"/>
              </w:rPr>
              <w:t>1.</w:t>
            </w:r>
            <w:r>
              <w:rPr>
                <w:rFonts w:cs="宋体"/>
                <w:color w:val="000000"/>
                <w:kern w:val="0"/>
                <w:sz w:val="24"/>
                <w:szCs w:val="24"/>
              </w:rPr>
              <w:t>瓦抽管路粘贴反光标志，且管路完好。</w:t>
            </w:r>
          </w:p>
        </w:tc>
        <w:tc>
          <w:tcPr>
            <w:tcW w:w="112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瓦检工</w:t>
            </w:r>
          </w:p>
        </w:tc>
      </w:tr>
      <w:tr w:rsidR="0091454F" w:rsidTr="0045558C">
        <w:trPr>
          <w:trHeight w:val="422"/>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lastRenderedPageBreak/>
              <w:t>4</w:t>
            </w:r>
          </w:p>
        </w:tc>
        <w:tc>
          <w:tcPr>
            <w:tcW w:w="9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回风巷</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瓦斯爆炸</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人员作业期间存在瓦抽管被挤压变形导致瓦斯泄露爆炸的风险</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较大</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瓦抽管路粘贴反光标志，且管路完好。</w:t>
            </w:r>
            <w:r>
              <w:rPr>
                <w:rFonts w:cs="宋体" w:hint="eastAsia"/>
                <w:color w:val="000000"/>
                <w:kern w:val="0"/>
                <w:sz w:val="24"/>
                <w:szCs w:val="24"/>
              </w:rPr>
              <w:br/>
              <w:t>2.</w:t>
            </w:r>
            <w:r>
              <w:rPr>
                <w:rFonts w:cs="宋体" w:hint="eastAsia"/>
                <w:color w:val="000000"/>
                <w:kern w:val="0"/>
                <w:sz w:val="24"/>
                <w:szCs w:val="24"/>
              </w:rPr>
              <w:t>瓦斯探测器悬挂正确，数据正常。</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瓦检工</w:t>
            </w:r>
          </w:p>
        </w:tc>
      </w:tr>
      <w:tr w:rsidR="0091454F" w:rsidTr="0045558C">
        <w:trPr>
          <w:trHeight w:val="1131"/>
        </w:trPr>
        <w:tc>
          <w:tcPr>
            <w:tcW w:w="6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31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5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662"/>
        </w:trPr>
        <w:tc>
          <w:tcPr>
            <w:tcW w:w="636"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126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310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21"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2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r w:rsidR="0091454F" w:rsidTr="0045558C">
        <w:trPr>
          <w:trHeight w:val="772"/>
        </w:trPr>
        <w:tc>
          <w:tcPr>
            <w:tcW w:w="636"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5</w:t>
            </w: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顶板</w:t>
            </w:r>
          </w:p>
        </w:tc>
        <w:tc>
          <w:tcPr>
            <w:tcW w:w="1093"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煤壁</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冒顶片帮</w:t>
            </w:r>
          </w:p>
        </w:tc>
        <w:tc>
          <w:tcPr>
            <w:tcW w:w="3104"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煤壁存在冒顶片帮的风险</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液压支架前探梁支护到位有效</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支护工</w:t>
            </w:r>
          </w:p>
        </w:tc>
      </w:tr>
      <w:tr w:rsidR="0091454F" w:rsidTr="0045558C">
        <w:trPr>
          <w:trHeight w:val="949"/>
        </w:trPr>
        <w:tc>
          <w:tcPr>
            <w:tcW w:w="636"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64"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3104"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21"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2.</w:t>
            </w:r>
            <w:r>
              <w:rPr>
                <w:rFonts w:cs="宋体" w:hint="eastAsia"/>
                <w:color w:val="000000"/>
                <w:kern w:val="0"/>
                <w:sz w:val="24"/>
                <w:szCs w:val="24"/>
              </w:rPr>
              <w:t>确保挡矸网无脱节、鼓包等现象</w:t>
            </w:r>
          </w:p>
        </w:tc>
        <w:tc>
          <w:tcPr>
            <w:tcW w:w="1122"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572"/>
        </w:trPr>
        <w:tc>
          <w:tcPr>
            <w:tcW w:w="636"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6</w:t>
            </w: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回风</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隅角</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冒顶片帮</w:t>
            </w:r>
          </w:p>
        </w:tc>
        <w:tc>
          <w:tcPr>
            <w:tcW w:w="3104"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顶板悬顶面积大容易出现冒顶片帮的风险</w:t>
            </w:r>
          </w:p>
        </w:tc>
        <w:tc>
          <w:tcPr>
            <w:tcW w:w="1121"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较大</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534" w:type="dxa"/>
            <w:vMerge w:val="restart"/>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color w:val="000000"/>
                <w:kern w:val="0"/>
                <w:sz w:val="24"/>
                <w:szCs w:val="24"/>
              </w:rPr>
              <w:t>隅角切顶线使用两排单体密集支护，间距不大于</w:t>
            </w:r>
            <w:r>
              <w:rPr>
                <w:rFonts w:cs="宋体"/>
                <w:color w:val="000000"/>
                <w:kern w:val="0"/>
                <w:sz w:val="24"/>
                <w:szCs w:val="24"/>
              </w:rPr>
              <w:t>500mm</w:t>
            </w:r>
            <w:r>
              <w:rPr>
                <w:rFonts w:cs="宋体"/>
                <w:color w:val="000000"/>
                <w:kern w:val="0"/>
                <w:sz w:val="24"/>
                <w:szCs w:val="24"/>
              </w:rPr>
              <w:t>、排距不大于</w:t>
            </w:r>
            <w:r>
              <w:rPr>
                <w:rFonts w:cs="宋体"/>
                <w:color w:val="000000"/>
                <w:kern w:val="0"/>
                <w:sz w:val="24"/>
                <w:szCs w:val="24"/>
              </w:rPr>
              <w:t>1m</w:t>
            </w:r>
            <w:r>
              <w:rPr>
                <w:rFonts w:cs="宋体"/>
                <w:color w:val="000000"/>
                <w:kern w:val="0"/>
                <w:sz w:val="24"/>
                <w:szCs w:val="24"/>
              </w:rPr>
              <w:t>。</w:t>
            </w:r>
          </w:p>
        </w:tc>
        <w:tc>
          <w:tcPr>
            <w:tcW w:w="1122" w:type="dxa"/>
            <w:vMerge w:val="restart"/>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支护工</w:t>
            </w:r>
          </w:p>
        </w:tc>
      </w:tr>
      <w:tr w:rsidR="0091454F" w:rsidTr="0045558C">
        <w:trPr>
          <w:trHeight w:val="754"/>
        </w:trPr>
        <w:tc>
          <w:tcPr>
            <w:tcW w:w="636"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64"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3104"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21"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534"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22"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263"/>
        </w:trPr>
        <w:tc>
          <w:tcPr>
            <w:tcW w:w="636"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978"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149" w:type="dxa"/>
            <w:vMerge/>
            <w:tcBorders>
              <w:top w:val="nil"/>
              <w:left w:val="single" w:sz="4" w:space="0" w:color="auto"/>
              <w:bottom w:val="single" w:sz="4" w:space="0" w:color="000000"/>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p>
        </w:tc>
        <w:tc>
          <w:tcPr>
            <w:tcW w:w="1093"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126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310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1121"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112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r w:rsidR="0091454F" w:rsidTr="0045558C">
        <w:trPr>
          <w:trHeight w:val="285"/>
        </w:trPr>
        <w:tc>
          <w:tcPr>
            <w:tcW w:w="636"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97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1093"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126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310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1121"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5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left"/>
              <w:rPr>
                <w:rFonts w:cs="宋体"/>
                <w:color w:val="000000"/>
                <w:kern w:val="0"/>
                <w:sz w:val="24"/>
                <w:szCs w:val="24"/>
              </w:rPr>
            </w:pPr>
            <w:r>
              <w:rPr>
                <w:rFonts w:cs="宋体" w:hint="eastAsia"/>
                <w:color w:val="000000"/>
                <w:kern w:val="0"/>
                <w:sz w:val="24"/>
                <w:szCs w:val="24"/>
              </w:rPr>
              <w:t>……</w:t>
            </w:r>
          </w:p>
        </w:tc>
        <w:tc>
          <w:tcPr>
            <w:tcW w:w="112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bl>
    <w:p w:rsidR="0091454F" w:rsidRDefault="0091454F" w:rsidP="0091454F">
      <w:pPr>
        <w:spacing w:line="400" w:lineRule="exact"/>
        <w:rPr>
          <w:rFonts w:ascii="宋体" w:hAnsi="宋体"/>
          <w:b/>
          <w:bCs/>
          <w:szCs w:val="21"/>
        </w:rPr>
      </w:pPr>
    </w:p>
    <w:p w:rsidR="0091454F" w:rsidRDefault="0091454F" w:rsidP="0091454F">
      <w:pPr>
        <w:spacing w:line="400" w:lineRule="exact"/>
        <w:rPr>
          <w:rFonts w:ascii="宋体" w:hAnsi="宋体"/>
          <w:b/>
          <w:bCs/>
          <w:szCs w:val="21"/>
        </w:rPr>
      </w:pPr>
      <w:r>
        <w:rPr>
          <w:rFonts w:ascii="宋体" w:hAnsi="宋体" w:hint="eastAsia"/>
          <w:b/>
          <w:bCs/>
          <w:szCs w:val="21"/>
        </w:rPr>
        <w:br w:type="page"/>
      </w:r>
    </w:p>
    <w:p w:rsidR="0091454F" w:rsidRDefault="0091454F" w:rsidP="0091454F">
      <w:pPr>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附录A.4 作业危害分析法</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作业危害分析法将作业活动分解为若干连续的工作步骤，识别每个工作步骤的潜在风险，然后通过风险评价判定风险等级，制定管控措施。作业危害分析法示例如下：</w:t>
      </w:r>
    </w:p>
    <w:p w:rsidR="0091454F" w:rsidRDefault="0091454F" w:rsidP="0091454F">
      <w:pPr>
        <w:spacing w:line="600" w:lineRule="exact"/>
        <w:ind w:firstLineChars="200" w:firstLine="640"/>
        <w:rPr>
          <w:rFonts w:ascii="仿宋_GB2312" w:eastAsia="仿宋_GB2312" w:hAnsi="仿宋_GB2312" w:cs="仿宋_GB2312"/>
          <w:sz w:val="32"/>
          <w:szCs w:val="32"/>
        </w:rPr>
      </w:pPr>
    </w:p>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表A.4 作业危害分析法示例</w:t>
      </w:r>
    </w:p>
    <w:tbl>
      <w:tblPr>
        <w:tblW w:w="13948" w:type="dxa"/>
        <w:tblInd w:w="113" w:type="dxa"/>
        <w:tblLayout w:type="fixed"/>
        <w:tblLook w:val="04A0" w:firstRow="1" w:lastRow="0" w:firstColumn="1" w:lastColumn="0" w:noHBand="0" w:noVBand="1"/>
      </w:tblPr>
      <w:tblGrid>
        <w:gridCol w:w="520"/>
        <w:gridCol w:w="882"/>
        <w:gridCol w:w="1124"/>
        <w:gridCol w:w="1406"/>
        <w:gridCol w:w="1125"/>
        <w:gridCol w:w="3018"/>
        <w:gridCol w:w="1134"/>
        <w:gridCol w:w="3402"/>
        <w:gridCol w:w="1337"/>
      </w:tblGrid>
      <w:tr w:rsidR="0091454F" w:rsidTr="0045558C">
        <w:trPr>
          <w:trHeight w:val="132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序号</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风险点</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辨识</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对象</w:t>
            </w:r>
          </w:p>
        </w:tc>
        <w:tc>
          <w:tcPr>
            <w:tcW w:w="140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检查项目</w:t>
            </w:r>
          </w:p>
          <w:p w:rsidR="0091454F" w:rsidRDefault="0091454F" w:rsidP="0045558C">
            <w:pPr>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（作业步骤）</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类型</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风险描述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等级</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管控措施</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责任岗位</w:t>
            </w:r>
          </w:p>
        </w:tc>
      </w:tr>
      <w:tr w:rsidR="0091454F" w:rsidTr="0045558C">
        <w:trPr>
          <w:trHeight w:val="203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1</w:t>
            </w:r>
          </w:p>
          <w:p w:rsidR="0091454F" w:rsidRDefault="0091454F" w:rsidP="0045558C">
            <w:pPr>
              <w:jc w:val="center"/>
              <w:rPr>
                <w:rFonts w:cs="宋体"/>
                <w:color w:val="000000"/>
                <w:kern w:val="0"/>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综采工作面（或空着）</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割煤作业</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开机</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前检查</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物体</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打击</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开机前检查不到位导致运行期间物体打击伤人的风险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检查各部位紧固良好。</w:t>
            </w:r>
            <w:r>
              <w:rPr>
                <w:rFonts w:cs="宋体" w:hint="eastAsia"/>
                <w:color w:val="000000"/>
                <w:kern w:val="0"/>
                <w:sz w:val="24"/>
                <w:szCs w:val="24"/>
              </w:rPr>
              <w:br/>
              <w:t>2.</w:t>
            </w:r>
            <w:r>
              <w:rPr>
                <w:rFonts w:cs="宋体" w:hint="eastAsia"/>
                <w:color w:val="000000"/>
                <w:kern w:val="0"/>
                <w:sz w:val="24"/>
                <w:szCs w:val="24"/>
              </w:rPr>
              <w:t>采煤机转动范围内无人员及杂物。</w:t>
            </w:r>
            <w:r>
              <w:rPr>
                <w:rFonts w:cs="宋体" w:hint="eastAsia"/>
                <w:color w:val="000000"/>
                <w:kern w:val="0"/>
                <w:sz w:val="24"/>
                <w:szCs w:val="24"/>
              </w:rPr>
              <w:br/>
              <w:t>3.</w:t>
            </w:r>
            <w:r>
              <w:rPr>
                <w:rFonts w:cs="宋体" w:hint="eastAsia"/>
                <w:color w:val="000000"/>
                <w:kern w:val="0"/>
                <w:sz w:val="24"/>
                <w:szCs w:val="24"/>
              </w:rPr>
              <w:t>作业区域内人员站位符合规定。</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采煤机</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司机</w:t>
            </w:r>
          </w:p>
        </w:tc>
      </w:tr>
      <w:tr w:rsidR="0091454F" w:rsidTr="0045558C">
        <w:trPr>
          <w:trHeight w:val="163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2</w:t>
            </w:r>
          </w:p>
        </w:tc>
        <w:tc>
          <w:tcPr>
            <w:tcW w:w="8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试运转</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机械</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伤害</w:t>
            </w:r>
          </w:p>
        </w:tc>
        <w:tc>
          <w:tcPr>
            <w:tcW w:w="3018"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采煤机试运转期间各部件运转不正常存在机械伤人的风险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试运转期间人员站位符合规定，观察设备运行状态。</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采煤机</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司机</w:t>
            </w:r>
          </w:p>
        </w:tc>
      </w:tr>
      <w:tr w:rsidR="0091454F" w:rsidTr="0045558C">
        <w:trPr>
          <w:trHeight w:val="289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lastRenderedPageBreak/>
              <w:t>3</w:t>
            </w:r>
          </w:p>
        </w:tc>
        <w:tc>
          <w:tcPr>
            <w:tcW w:w="882" w:type="dxa"/>
            <w:vMerge/>
            <w:tcBorders>
              <w:top w:val="single" w:sz="4" w:space="0" w:color="auto"/>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single" w:sz="4" w:space="0" w:color="auto"/>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截割</w:t>
            </w:r>
          </w:p>
        </w:tc>
        <w:tc>
          <w:tcPr>
            <w:tcW w:w="112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物体</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打击</w:t>
            </w:r>
          </w:p>
        </w:tc>
        <w:tc>
          <w:tcPr>
            <w:tcW w:w="30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割煤作业在割煤过程中，存在物体打击方面的风险</w:t>
            </w:r>
          </w:p>
        </w:tc>
        <w:tc>
          <w:tcPr>
            <w:tcW w:w="11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一般</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风险</w:t>
            </w:r>
          </w:p>
        </w:tc>
        <w:tc>
          <w:tcPr>
            <w:tcW w:w="340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采煤机在割煤过程中，除司机外，所有人员必须位于距滚筒</w:t>
            </w:r>
            <w:r>
              <w:rPr>
                <w:rFonts w:cs="宋体" w:hint="eastAsia"/>
                <w:color w:val="000000"/>
                <w:kern w:val="0"/>
                <w:sz w:val="24"/>
                <w:szCs w:val="24"/>
              </w:rPr>
              <w:t>5m</w:t>
            </w:r>
            <w:r>
              <w:rPr>
                <w:rFonts w:cs="宋体" w:hint="eastAsia"/>
                <w:color w:val="000000"/>
                <w:kern w:val="0"/>
                <w:sz w:val="24"/>
                <w:szCs w:val="24"/>
              </w:rPr>
              <w:t>以外处，以防止煤块甩出伤及人员。</w:t>
            </w:r>
            <w:r>
              <w:rPr>
                <w:rFonts w:cs="宋体" w:hint="eastAsia"/>
                <w:color w:val="000000"/>
                <w:kern w:val="0"/>
                <w:sz w:val="24"/>
                <w:szCs w:val="24"/>
              </w:rPr>
              <w:br/>
              <w:t>2.</w:t>
            </w:r>
            <w:r>
              <w:rPr>
                <w:rFonts w:cs="宋体" w:hint="eastAsia"/>
                <w:color w:val="000000"/>
                <w:kern w:val="0"/>
                <w:sz w:val="24"/>
                <w:szCs w:val="24"/>
              </w:rPr>
              <w:t>采煤机滚筒缠绕锚杆或其他异物时，及时停机闭锁采煤机和刮板输送机，取下异物后再开机割煤。</w:t>
            </w:r>
          </w:p>
        </w:tc>
        <w:tc>
          <w:tcPr>
            <w:tcW w:w="1337"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采煤机</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司机</w:t>
            </w:r>
          </w:p>
        </w:tc>
      </w:tr>
      <w:tr w:rsidR="0091454F" w:rsidTr="0045558C">
        <w:trPr>
          <w:trHeight w:val="1448"/>
        </w:trPr>
        <w:tc>
          <w:tcPr>
            <w:tcW w:w="520"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4</w:t>
            </w:r>
          </w:p>
        </w:tc>
        <w:tc>
          <w:tcPr>
            <w:tcW w:w="882"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截割</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冒顶片帮</w:t>
            </w:r>
          </w:p>
        </w:tc>
        <w:tc>
          <w:tcPr>
            <w:tcW w:w="30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割煤作业在割煤过程中，存在冒顶片帮方面的风险。</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一般风险</w:t>
            </w:r>
          </w:p>
        </w:tc>
        <w:tc>
          <w:tcPr>
            <w:tcW w:w="340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割煤过程中保证顶板完好，防止漏顶。</w:t>
            </w:r>
            <w:r>
              <w:rPr>
                <w:rFonts w:cs="宋体" w:hint="eastAsia"/>
                <w:color w:val="000000"/>
                <w:kern w:val="0"/>
                <w:sz w:val="24"/>
                <w:szCs w:val="24"/>
              </w:rPr>
              <w:br/>
              <w:t>2.</w:t>
            </w:r>
            <w:r>
              <w:rPr>
                <w:rFonts w:cs="宋体" w:hint="eastAsia"/>
                <w:color w:val="000000"/>
                <w:kern w:val="0"/>
                <w:sz w:val="24"/>
                <w:szCs w:val="24"/>
              </w:rPr>
              <w:t>如产生漏矸现象，工作面必须超前拉架。</w:t>
            </w:r>
          </w:p>
        </w:tc>
        <w:tc>
          <w:tcPr>
            <w:tcW w:w="133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采煤机</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司机</w:t>
            </w:r>
          </w:p>
        </w:tc>
      </w:tr>
      <w:tr w:rsidR="0091454F" w:rsidTr="0045558C">
        <w:trPr>
          <w:trHeight w:val="91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5</w:t>
            </w:r>
          </w:p>
        </w:tc>
        <w:tc>
          <w:tcPr>
            <w:tcW w:w="8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停机</w:t>
            </w:r>
          </w:p>
        </w:tc>
        <w:tc>
          <w:tcPr>
            <w:tcW w:w="112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机械伤害</w:t>
            </w:r>
          </w:p>
        </w:tc>
        <w:tc>
          <w:tcPr>
            <w:tcW w:w="30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停机确认不到位，设备误启动存在机械伤人的风险。</w:t>
            </w:r>
          </w:p>
        </w:tc>
        <w:tc>
          <w:tcPr>
            <w:tcW w:w="11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一般风险</w:t>
            </w:r>
          </w:p>
        </w:tc>
        <w:tc>
          <w:tcPr>
            <w:tcW w:w="340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1.</w:t>
            </w:r>
            <w:r>
              <w:rPr>
                <w:rFonts w:cs="宋体" w:hint="eastAsia"/>
                <w:color w:val="000000"/>
                <w:kern w:val="0"/>
                <w:sz w:val="24"/>
                <w:szCs w:val="24"/>
              </w:rPr>
              <w:t>采煤机停机后，要将所有操作手把复“零”位，停电闭锁。</w:t>
            </w:r>
          </w:p>
        </w:tc>
        <w:tc>
          <w:tcPr>
            <w:tcW w:w="1337"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采煤机</w:t>
            </w:r>
          </w:p>
          <w:p w:rsidR="0091454F" w:rsidRDefault="0091454F" w:rsidP="0045558C">
            <w:pPr>
              <w:widowControl/>
              <w:jc w:val="center"/>
              <w:rPr>
                <w:rFonts w:cs="宋体"/>
                <w:color w:val="000000"/>
                <w:kern w:val="0"/>
                <w:sz w:val="24"/>
                <w:szCs w:val="24"/>
              </w:rPr>
            </w:pPr>
            <w:r>
              <w:rPr>
                <w:rFonts w:cs="宋体" w:hint="eastAsia"/>
                <w:color w:val="000000"/>
                <w:kern w:val="0"/>
                <w:sz w:val="24"/>
                <w:szCs w:val="24"/>
              </w:rPr>
              <w:t>司机</w:t>
            </w:r>
          </w:p>
        </w:tc>
      </w:tr>
      <w:tr w:rsidR="0091454F" w:rsidTr="0045558C">
        <w:trPr>
          <w:trHeight w:val="427"/>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8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112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0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337"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r w:rsidR="0091454F" w:rsidTr="0045558C">
        <w:trPr>
          <w:trHeight w:val="82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6</w:t>
            </w:r>
          </w:p>
        </w:tc>
        <w:tc>
          <w:tcPr>
            <w:tcW w:w="882" w:type="dxa"/>
            <w:vMerge/>
            <w:tcBorders>
              <w:top w:val="single" w:sz="4" w:space="0" w:color="auto"/>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val="restart"/>
            <w:tcBorders>
              <w:top w:val="single" w:sz="4" w:space="0" w:color="auto"/>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移架作业</w:t>
            </w:r>
          </w:p>
        </w:tc>
        <w:tc>
          <w:tcPr>
            <w:tcW w:w="140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移架前检查确认</w:t>
            </w:r>
          </w:p>
        </w:tc>
        <w:tc>
          <w:tcPr>
            <w:tcW w:w="1125"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0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337"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r w:rsidR="0091454F" w:rsidTr="0045558C">
        <w:trPr>
          <w:trHeight w:val="472"/>
        </w:trPr>
        <w:tc>
          <w:tcPr>
            <w:tcW w:w="520"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7</w:t>
            </w:r>
          </w:p>
        </w:tc>
        <w:tc>
          <w:tcPr>
            <w:tcW w:w="882" w:type="dxa"/>
            <w:vMerge/>
            <w:tcBorders>
              <w:top w:val="nil"/>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single" w:sz="4" w:space="0" w:color="auto"/>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nil"/>
              <w:left w:val="nil"/>
              <w:bottom w:val="nil"/>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移架</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0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33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r w:rsidR="0091454F" w:rsidTr="0045558C">
        <w:trPr>
          <w:trHeight w:val="447"/>
        </w:trPr>
        <w:tc>
          <w:tcPr>
            <w:tcW w:w="520"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882" w:type="dxa"/>
            <w:vMerge/>
            <w:tcBorders>
              <w:top w:val="nil"/>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124" w:type="dxa"/>
            <w:vMerge/>
            <w:tcBorders>
              <w:top w:val="single" w:sz="4" w:space="0" w:color="auto"/>
              <w:left w:val="single" w:sz="4" w:space="0" w:color="auto"/>
              <w:bottom w:val="nil"/>
              <w:right w:val="single" w:sz="4" w:space="0" w:color="auto"/>
            </w:tcBorders>
            <w:shd w:val="clear" w:color="auto" w:fill="auto"/>
            <w:vAlign w:val="center"/>
          </w:tcPr>
          <w:p w:rsidR="0091454F" w:rsidRDefault="0091454F" w:rsidP="0045558C">
            <w:pPr>
              <w:widowControl/>
              <w:rPr>
                <w:rFonts w:cs="宋体"/>
                <w:color w:val="000000"/>
                <w:kern w:val="0"/>
                <w:sz w:val="24"/>
                <w:szCs w:val="24"/>
              </w:rPr>
            </w:pPr>
          </w:p>
        </w:tc>
        <w:tc>
          <w:tcPr>
            <w:tcW w:w="140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0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33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r w:rsidR="0091454F" w:rsidTr="0045558C">
        <w:trPr>
          <w:trHeight w:val="522"/>
        </w:trPr>
        <w:tc>
          <w:tcPr>
            <w:tcW w:w="520"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88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24"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40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1125"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0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rPr>
                <w:rFonts w:cs="宋体"/>
                <w:color w:val="000000"/>
                <w:kern w:val="0"/>
                <w:sz w:val="24"/>
                <w:szCs w:val="24"/>
              </w:rPr>
            </w:pPr>
            <w:r>
              <w:rPr>
                <w:rFonts w:cs="宋体" w:hint="eastAsia"/>
                <w:color w:val="000000"/>
                <w:kern w:val="0"/>
                <w:sz w:val="24"/>
                <w:szCs w:val="24"/>
              </w:rPr>
              <w:t>……</w:t>
            </w:r>
          </w:p>
        </w:tc>
        <w:tc>
          <w:tcPr>
            <w:tcW w:w="133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r>
              <w:rPr>
                <w:rFonts w:cs="宋体" w:hint="eastAsia"/>
                <w:color w:val="000000"/>
                <w:kern w:val="0"/>
                <w:sz w:val="24"/>
                <w:szCs w:val="24"/>
              </w:rPr>
              <w:t>……</w:t>
            </w:r>
          </w:p>
        </w:tc>
      </w:tr>
    </w:tbl>
    <w:p w:rsidR="0091454F" w:rsidRDefault="0091454F" w:rsidP="0091454F">
      <w:pPr>
        <w:spacing w:line="600" w:lineRule="exact"/>
        <w:jc w:val="center"/>
        <w:rPr>
          <w:rFonts w:ascii="黑体" w:eastAsia="黑体" w:hAnsi="黑体" w:cs="黑体"/>
          <w:sz w:val="32"/>
          <w:szCs w:val="32"/>
        </w:rPr>
      </w:pPr>
      <w:bookmarkStart w:id="54" w:name="_Toc24429"/>
    </w:p>
    <w:p w:rsidR="0091454F" w:rsidRDefault="0091454F" w:rsidP="0091454F">
      <w:pPr>
        <w:spacing w:line="600" w:lineRule="exact"/>
        <w:jc w:val="center"/>
        <w:rPr>
          <w:rFonts w:ascii="黑体" w:eastAsia="黑体" w:hAnsi="黑体" w:cs="黑体"/>
          <w:sz w:val="32"/>
          <w:szCs w:val="32"/>
        </w:rPr>
      </w:pPr>
      <w:r>
        <w:rPr>
          <w:rFonts w:ascii="黑体" w:eastAsia="黑体" w:hAnsi="黑体" w:cs="黑体" w:hint="eastAsia"/>
          <w:sz w:val="32"/>
          <w:szCs w:val="32"/>
        </w:rPr>
        <w:t>附录B 风险评估方法（资料性附录）</w:t>
      </w:r>
      <w:bookmarkEnd w:id="54"/>
    </w:p>
    <w:p w:rsidR="0091454F" w:rsidRDefault="0091454F" w:rsidP="0091454F">
      <w:pPr>
        <w:spacing w:line="600" w:lineRule="exact"/>
        <w:jc w:val="center"/>
        <w:rPr>
          <w:rFonts w:ascii="黑体" w:eastAsia="黑体" w:hAnsi="黑体" w:cs="黑体"/>
          <w:sz w:val="32"/>
          <w:szCs w:val="32"/>
        </w:rPr>
      </w:pPr>
      <w:r>
        <w:rPr>
          <w:rFonts w:ascii="黑体" w:eastAsia="黑体" w:hAnsi="黑体" w:cs="黑体" w:hint="eastAsia"/>
          <w:sz w:val="32"/>
          <w:szCs w:val="32"/>
        </w:rPr>
        <w:t>附录B.1 风险矩阵法（LS）</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55" w:name="_Hlk30162562"/>
      <w:r>
        <w:rPr>
          <w:rFonts w:ascii="仿宋_GB2312" w:eastAsia="仿宋_GB2312" w:hAnsi="仿宋_GB2312" w:cs="仿宋_GB2312" w:hint="eastAsia"/>
          <w:sz w:val="32"/>
          <w:szCs w:val="32"/>
        </w:rPr>
        <w:t>该方法按照风险发生的概率、特征、损害程度等技术指标，由风险发生的可能性和可能造成的损失评定分数，进而确定相应的风险等级，其计算公式是：</w:t>
      </w:r>
    </w:p>
    <w:p w:rsidR="0091454F" w:rsidRDefault="0091454F" w:rsidP="0091454F">
      <w:pPr>
        <w:spacing w:line="60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R= L×S</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式中，L 表示危险事件发生可能性；</w:t>
      </w:r>
    </w:p>
    <w:p w:rsidR="0091454F" w:rsidRDefault="0091454F" w:rsidP="0091454F">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S 表示危险事件可能造成的损失。</w:t>
      </w:r>
    </w:p>
    <w:bookmarkEnd w:id="55"/>
    <w:p w:rsidR="0091454F" w:rsidRDefault="0091454F" w:rsidP="0091454F">
      <w:pPr>
        <w:jc w:val="center"/>
        <w:rPr>
          <w:sz w:val="24"/>
        </w:rPr>
      </w:pPr>
      <w:r>
        <w:rPr>
          <w:noProof/>
          <w:sz w:val="24"/>
        </w:rPr>
        <w:lastRenderedPageBreak/>
        <w:drawing>
          <wp:inline distT="0" distB="0" distL="114300" distR="114300" wp14:anchorId="7E0324B2" wp14:editId="59A3C330">
            <wp:extent cx="5270500" cy="300228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0500" cy="3002280"/>
                    </a:xfrm>
                    <a:prstGeom prst="rect">
                      <a:avLst/>
                    </a:prstGeom>
                    <a:noFill/>
                    <a:ln>
                      <a:noFill/>
                    </a:ln>
                  </pic:spPr>
                </pic:pic>
              </a:graphicData>
            </a:graphic>
          </wp:inline>
        </w:drawing>
      </w:r>
    </w:p>
    <w:p w:rsidR="0091454F" w:rsidRDefault="0091454F" w:rsidP="0091454F">
      <w:pPr>
        <w:jc w:val="center"/>
        <w:rPr>
          <w:rFonts w:ascii="宋体" w:hAnsi="宋体" w:cs="宋体"/>
          <w:sz w:val="24"/>
          <w:szCs w:val="24"/>
        </w:rPr>
      </w:pPr>
      <w:r>
        <w:rPr>
          <w:rFonts w:ascii="宋体" w:hAnsi="宋体" w:cs="宋体" w:hint="eastAsia"/>
          <w:sz w:val="24"/>
          <w:szCs w:val="24"/>
        </w:rPr>
        <w:t>图</w:t>
      </w:r>
      <w:r>
        <w:rPr>
          <w:kern w:val="0"/>
          <w:sz w:val="24"/>
          <w:szCs w:val="24"/>
        </w:rPr>
        <w:t>B.1</w:t>
      </w:r>
      <w:r>
        <w:rPr>
          <w:rFonts w:ascii="宋体" w:hAnsi="宋体" w:cs="宋体"/>
          <w:sz w:val="24"/>
          <w:szCs w:val="24"/>
        </w:rPr>
        <w:t xml:space="preserve">  </w:t>
      </w:r>
      <w:r>
        <w:rPr>
          <w:rFonts w:ascii="宋体" w:hAnsi="宋体" w:cs="宋体" w:hint="eastAsia"/>
          <w:sz w:val="24"/>
          <w:szCs w:val="24"/>
        </w:rPr>
        <w:t>风险</w:t>
      </w:r>
      <w:r>
        <w:rPr>
          <w:rFonts w:ascii="宋体" w:hAnsi="宋体" w:cs="宋体"/>
          <w:sz w:val="24"/>
          <w:szCs w:val="24"/>
        </w:rPr>
        <w:t>矩阵图</w:t>
      </w:r>
    </w:p>
    <w:p w:rsidR="0091454F" w:rsidRDefault="0091454F" w:rsidP="009145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示例：评估“井下人员登高作业未系安全带，高处坠落伤害”风险：</w:t>
      </w:r>
    </w:p>
    <w:p w:rsidR="0091454F" w:rsidRDefault="0091454F" w:rsidP="009145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L：可能性,人员登高作业时未系安全带发生坠落的可能性，可能发生，取值4</w:t>
      </w:r>
    </w:p>
    <w:p w:rsidR="0091454F" w:rsidRDefault="0091454F" w:rsidP="009145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S：损失，人员高处坠落造成的伤害程度，一人受到严重伤害，取值3</w:t>
      </w:r>
    </w:p>
    <w:p w:rsidR="0091454F" w:rsidRDefault="0091454F" w:rsidP="009145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R：风险值，4×3=12</w:t>
      </w:r>
    </w:p>
    <w:p w:rsidR="0091454F" w:rsidRDefault="0091454F" w:rsidP="009145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根据矩阵图，值在黄色区间，即一般风险，则：“井下人员登高作业未系安全带，高处坠落伤害”风险大小为：一般风险。</w:t>
      </w:r>
    </w:p>
    <w:p w:rsidR="0091454F" w:rsidRDefault="0091454F" w:rsidP="0091454F">
      <w:pPr>
        <w:spacing w:line="400" w:lineRule="exact"/>
        <w:rPr>
          <w:rFonts w:ascii="仿宋_GB2312" w:eastAsia="仿宋_GB2312" w:hAnsi="仿宋_GB2312" w:cs="仿宋_GB2312"/>
          <w:b/>
          <w:bCs/>
          <w:sz w:val="24"/>
          <w:szCs w:val="24"/>
        </w:rPr>
      </w:pPr>
    </w:p>
    <w:p w:rsidR="0091454F" w:rsidRDefault="0091454F" w:rsidP="0091454F">
      <w:pPr>
        <w:spacing w:line="400" w:lineRule="exact"/>
        <w:rPr>
          <w:rFonts w:ascii="宋体" w:hAnsi="宋体"/>
          <w:b/>
          <w:bCs/>
          <w:szCs w:val="21"/>
        </w:rPr>
      </w:pPr>
    </w:p>
    <w:p w:rsidR="0091454F" w:rsidRDefault="0091454F" w:rsidP="0091454F">
      <w:pPr>
        <w:spacing w:line="400" w:lineRule="exact"/>
        <w:rPr>
          <w:rFonts w:ascii="宋体" w:hAnsi="宋体"/>
          <w:b/>
          <w:bCs/>
          <w:szCs w:val="21"/>
        </w:rPr>
        <w:sectPr w:rsidR="0091454F">
          <w:footerReference w:type="default" r:id="rId8"/>
          <w:pgSz w:w="16838" w:h="11906" w:orient="landscape"/>
          <w:pgMar w:top="1797" w:right="1440" w:bottom="1797" w:left="1440" w:header="851" w:footer="992" w:gutter="0"/>
          <w:pgNumType w:fmt="numberInDash" w:start="24"/>
          <w:cols w:space="720"/>
          <w:docGrid w:type="lines" w:linePitch="312"/>
        </w:sectPr>
      </w:pPr>
    </w:p>
    <w:p w:rsidR="0091454F" w:rsidRDefault="0091454F" w:rsidP="0091454F">
      <w:pPr>
        <w:spacing w:line="600" w:lineRule="exact"/>
        <w:jc w:val="center"/>
        <w:rPr>
          <w:rFonts w:ascii="黑体" w:eastAsia="黑体" w:hAnsi="黑体" w:cs="黑体"/>
          <w:sz w:val="32"/>
          <w:szCs w:val="32"/>
        </w:rPr>
      </w:pPr>
      <w:r>
        <w:rPr>
          <w:rFonts w:ascii="黑体" w:eastAsia="黑体" w:hAnsi="黑体" w:cs="黑体" w:hint="eastAsia"/>
          <w:sz w:val="32"/>
          <w:szCs w:val="32"/>
        </w:rPr>
        <w:lastRenderedPageBreak/>
        <w:t>附录B.2 作业条件危险性评价法（LEC）</w:t>
      </w:r>
    </w:p>
    <w:p w:rsidR="0091454F" w:rsidRDefault="0091454F" w:rsidP="0091454F">
      <w:pPr>
        <w:spacing w:line="600" w:lineRule="exact"/>
        <w:ind w:firstLineChars="200" w:firstLine="640"/>
        <w:rPr>
          <w:rFonts w:ascii="仿宋_GB2312" w:eastAsia="仿宋_GB2312" w:hAnsi="仿宋_GB2312" w:cs="仿宋_GB2312"/>
          <w:sz w:val="32"/>
          <w:szCs w:val="32"/>
        </w:rPr>
      </w:pPr>
      <w:bookmarkStart w:id="56" w:name="_Hlk30162648"/>
      <w:r>
        <w:rPr>
          <w:rFonts w:ascii="仿宋_GB2312" w:eastAsia="仿宋_GB2312" w:hAnsi="仿宋_GB2312" w:cs="仿宋_GB2312" w:hint="eastAsia"/>
          <w:sz w:val="32"/>
          <w:szCs w:val="32"/>
        </w:rPr>
        <w:t>作业条件危险性评价法（LEC）用与系统风险有关的三种因素指标值的乘积来评价风险大小，这三种因素分别是：</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L（事故发生的可能性，likelihood）；</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E（人员暴露于危险环境中的频繁程度，exposure）；</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C（一旦发生事故可能造成的后果，consequence）。</w:t>
      </w:r>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给三种因素的不同等级分别确定不同的分值，再以三个分值的乘积D（危险性，danger）来评价作业条件危险性的大小，即：</w:t>
      </w:r>
    </w:p>
    <w:p w:rsidR="0091454F" w:rsidRDefault="0091454F" w:rsidP="0091454F">
      <w:pPr>
        <w:spacing w:line="600" w:lineRule="exact"/>
        <w:ind w:firstLineChars="192" w:firstLine="617"/>
        <w:jc w:val="center"/>
        <w:rPr>
          <w:rFonts w:ascii="仿宋_GB2312" w:eastAsia="仿宋_GB2312" w:hAnsi="仿宋_GB2312" w:cs="仿宋_GB2312"/>
          <w:b/>
          <w:sz w:val="32"/>
          <w:szCs w:val="32"/>
          <w:shd w:val="clear" w:color="auto" w:fill="FFFFFF"/>
        </w:rPr>
      </w:pPr>
      <w:r>
        <w:rPr>
          <w:rFonts w:ascii="仿宋_GB2312" w:eastAsia="仿宋_GB2312" w:hAnsi="仿宋_GB2312" w:cs="仿宋_GB2312" w:hint="eastAsia"/>
          <w:b/>
          <w:sz w:val="32"/>
          <w:szCs w:val="32"/>
          <w:shd w:val="clear" w:color="auto" w:fill="FFFFFF"/>
        </w:rPr>
        <w:t>D = L× E × C</w:t>
      </w:r>
    </w:p>
    <w:bookmarkEnd w:id="56"/>
    <w:p w:rsidR="0091454F" w:rsidRDefault="0091454F" w:rsidP="0091454F">
      <w:pPr>
        <w:spacing w:afterLines="50" w:after="156" w:line="400" w:lineRule="exact"/>
        <w:jc w:val="center"/>
        <w:rPr>
          <w:rFonts w:ascii="黑体" w:eastAsia="黑体" w:hAnsi="黑体" w:cs="黑体"/>
          <w:sz w:val="24"/>
          <w:szCs w:val="24"/>
        </w:rPr>
      </w:pPr>
    </w:p>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表B.2.1  L——事故发生的可能性</w:t>
      </w:r>
    </w:p>
    <w:tbl>
      <w:tblPr>
        <w:tblW w:w="86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41"/>
        <w:gridCol w:w="6362"/>
      </w:tblGrid>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分数值</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事故发生的可能性</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10</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完全可以预料</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6</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相当可能</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3</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可能，但不经常</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1</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可能性小，完全意外</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0.5</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很不可能，可以设想</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0.2</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极不可能</w:t>
            </w:r>
          </w:p>
        </w:tc>
      </w:tr>
      <w:tr w:rsidR="0091454F" w:rsidTr="0045558C">
        <w:trPr>
          <w:trHeight w:val="283"/>
          <w:jc w:val="center"/>
        </w:trPr>
        <w:tc>
          <w:tcPr>
            <w:tcW w:w="2241"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0.1</w:t>
            </w:r>
          </w:p>
        </w:tc>
        <w:tc>
          <w:tcPr>
            <w:tcW w:w="63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实际不可能</w:t>
            </w:r>
          </w:p>
        </w:tc>
      </w:tr>
    </w:tbl>
    <w:p w:rsidR="0091454F" w:rsidRDefault="0091454F" w:rsidP="0091454F">
      <w:pPr>
        <w:spacing w:afterLines="50" w:after="156" w:line="400" w:lineRule="exact"/>
        <w:jc w:val="center"/>
        <w:rPr>
          <w:rFonts w:ascii="黑体" w:eastAsia="黑体" w:hAnsi="黑体" w:cs="黑体"/>
          <w:sz w:val="24"/>
          <w:szCs w:val="24"/>
        </w:rPr>
      </w:pPr>
    </w:p>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表B.2.2  E——暴露于危险环境的频繁程度</w:t>
      </w:r>
    </w:p>
    <w:tbl>
      <w:tblPr>
        <w:tblW w:w="87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50"/>
        <w:gridCol w:w="6764"/>
      </w:tblGrid>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分数值</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暴露于危险环境的频繁程度</w:t>
            </w:r>
          </w:p>
        </w:tc>
      </w:tr>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10</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连续暴露</w:t>
            </w:r>
          </w:p>
        </w:tc>
      </w:tr>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每天工作时间内暴露</w:t>
            </w:r>
          </w:p>
        </w:tc>
      </w:tr>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每周一次或偶然暴露</w:t>
            </w:r>
          </w:p>
        </w:tc>
      </w:tr>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每月一次暴露</w:t>
            </w:r>
          </w:p>
        </w:tc>
      </w:tr>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每年几次暴露</w:t>
            </w:r>
          </w:p>
        </w:tc>
      </w:tr>
      <w:tr w:rsidR="0091454F" w:rsidTr="0045558C">
        <w:trPr>
          <w:trHeight w:val="283"/>
          <w:jc w:val="center"/>
        </w:trPr>
        <w:tc>
          <w:tcPr>
            <w:tcW w:w="1950"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0.5</w:t>
            </w:r>
          </w:p>
        </w:tc>
        <w:tc>
          <w:tcPr>
            <w:tcW w:w="676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非常罕见暴露</w:t>
            </w:r>
          </w:p>
        </w:tc>
      </w:tr>
    </w:tbl>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lastRenderedPageBreak/>
        <w:t>表B.2.3  C——发生事故产生的后果</w:t>
      </w:r>
    </w:p>
    <w:tbl>
      <w:tblPr>
        <w:tblW w:w="87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21"/>
        <w:gridCol w:w="7334"/>
      </w:tblGrid>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jc w:val="center"/>
              <w:rPr>
                <w:rFonts w:ascii="宋体" w:hAnsi="宋体" w:cs="Arial"/>
                <w:b/>
                <w:bCs/>
                <w:kern w:val="0"/>
                <w:sz w:val="24"/>
                <w:szCs w:val="24"/>
              </w:rPr>
            </w:pPr>
            <w:r>
              <w:rPr>
                <w:rFonts w:ascii="宋体" w:hAnsi="宋体" w:cs="Arial"/>
                <w:b/>
                <w:bCs/>
                <w:kern w:val="0"/>
                <w:sz w:val="24"/>
                <w:szCs w:val="24"/>
              </w:rPr>
              <w:t>分数值</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b/>
                <w:bCs/>
                <w:kern w:val="0"/>
                <w:sz w:val="24"/>
                <w:szCs w:val="24"/>
              </w:rPr>
            </w:pPr>
            <w:r>
              <w:rPr>
                <w:rFonts w:ascii="宋体" w:hAnsi="宋体" w:cs="Arial"/>
                <w:b/>
                <w:bCs/>
                <w:kern w:val="0"/>
                <w:sz w:val="24"/>
                <w:szCs w:val="24"/>
              </w:rPr>
              <w:t>发生事故产生的后果</w:t>
            </w:r>
          </w:p>
        </w:tc>
      </w:tr>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100</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10人以上死亡</w:t>
            </w:r>
          </w:p>
        </w:tc>
      </w:tr>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40</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3～9人死亡</w:t>
            </w:r>
          </w:p>
        </w:tc>
      </w:tr>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15</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1～2人死亡</w:t>
            </w:r>
          </w:p>
        </w:tc>
      </w:tr>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7</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严重</w:t>
            </w:r>
          </w:p>
        </w:tc>
      </w:tr>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3</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重大，伤残</w:t>
            </w:r>
          </w:p>
        </w:tc>
      </w:tr>
      <w:tr w:rsidR="0091454F" w:rsidTr="0045558C">
        <w:trPr>
          <w:trHeight w:val="312"/>
          <w:jc w:val="center"/>
        </w:trPr>
        <w:tc>
          <w:tcPr>
            <w:tcW w:w="1421"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1</w:t>
            </w:r>
          </w:p>
        </w:tc>
        <w:tc>
          <w:tcPr>
            <w:tcW w:w="7334" w:type="dxa"/>
            <w:shd w:val="clear" w:color="auto" w:fill="FFFFFF"/>
            <w:tcMar>
              <w:top w:w="30" w:type="dxa"/>
              <w:left w:w="150" w:type="dxa"/>
              <w:bottom w:w="30" w:type="dxa"/>
              <w:right w:w="150" w:type="dxa"/>
            </w:tcMar>
            <w:vAlign w:val="center"/>
          </w:tcPr>
          <w:p w:rsidR="0091454F" w:rsidRDefault="0091454F" w:rsidP="0045558C">
            <w:pPr>
              <w:widowControl/>
              <w:shd w:val="clear" w:color="auto" w:fill="FFFFFF"/>
              <w:spacing w:line="260" w:lineRule="exact"/>
              <w:ind w:firstLine="480"/>
              <w:jc w:val="center"/>
              <w:rPr>
                <w:rFonts w:ascii="宋体" w:hAnsi="宋体" w:cs="Arial"/>
                <w:kern w:val="0"/>
                <w:sz w:val="24"/>
                <w:szCs w:val="24"/>
              </w:rPr>
            </w:pPr>
            <w:r>
              <w:rPr>
                <w:rFonts w:ascii="宋体" w:hAnsi="宋体" w:cs="Arial"/>
                <w:kern w:val="0"/>
                <w:sz w:val="24"/>
                <w:szCs w:val="24"/>
              </w:rPr>
              <w:t>引人注意</w:t>
            </w:r>
          </w:p>
        </w:tc>
      </w:tr>
    </w:tbl>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表B.2.4   D——风险大小</w:t>
      </w:r>
    </w:p>
    <w:tbl>
      <w:tblPr>
        <w:tblW w:w="85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5"/>
        <w:gridCol w:w="6462"/>
      </w:tblGrid>
      <w:tr w:rsidR="0091454F" w:rsidTr="0045558C">
        <w:trPr>
          <w:trHeight w:hRule="exact" w:val="397"/>
          <w:jc w:val="center"/>
        </w:trPr>
        <w:tc>
          <w:tcPr>
            <w:tcW w:w="2115"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b/>
                <w:bCs/>
                <w:kern w:val="0"/>
                <w:sz w:val="24"/>
                <w:szCs w:val="24"/>
              </w:rPr>
            </w:pPr>
            <w:r>
              <w:rPr>
                <w:rFonts w:ascii="宋体" w:hAnsi="宋体" w:cs="Arial"/>
                <w:b/>
                <w:bCs/>
                <w:kern w:val="0"/>
                <w:sz w:val="24"/>
                <w:szCs w:val="24"/>
              </w:rPr>
              <w:t>D值</w:t>
            </w:r>
          </w:p>
        </w:tc>
        <w:tc>
          <w:tcPr>
            <w:tcW w:w="64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b/>
                <w:bCs/>
                <w:kern w:val="0"/>
                <w:sz w:val="24"/>
                <w:szCs w:val="24"/>
              </w:rPr>
            </w:pPr>
            <w:r>
              <w:rPr>
                <w:rFonts w:ascii="宋体" w:hAnsi="宋体" w:cs="Arial"/>
                <w:b/>
                <w:bCs/>
                <w:kern w:val="0"/>
                <w:sz w:val="24"/>
                <w:szCs w:val="24"/>
              </w:rPr>
              <w:t>危险程度</w:t>
            </w:r>
          </w:p>
        </w:tc>
      </w:tr>
      <w:tr w:rsidR="0091454F" w:rsidTr="0045558C">
        <w:trPr>
          <w:trHeight w:hRule="exact" w:val="397"/>
          <w:jc w:val="center"/>
        </w:trPr>
        <w:tc>
          <w:tcPr>
            <w:tcW w:w="2115"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hint="eastAsia"/>
                <w:kern w:val="0"/>
                <w:sz w:val="24"/>
                <w:szCs w:val="24"/>
              </w:rPr>
              <w:t xml:space="preserve">≧ </w:t>
            </w:r>
            <w:r>
              <w:rPr>
                <w:rFonts w:ascii="宋体" w:hAnsi="宋体" w:cs="Arial"/>
                <w:kern w:val="0"/>
                <w:sz w:val="24"/>
                <w:szCs w:val="24"/>
              </w:rPr>
              <w:t>320</w:t>
            </w:r>
          </w:p>
        </w:tc>
        <w:tc>
          <w:tcPr>
            <w:tcW w:w="64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hint="eastAsia"/>
                <w:kern w:val="0"/>
                <w:sz w:val="24"/>
                <w:szCs w:val="24"/>
              </w:rPr>
              <w:t>重大风险</w:t>
            </w:r>
          </w:p>
        </w:tc>
      </w:tr>
      <w:tr w:rsidR="0091454F" w:rsidTr="0045558C">
        <w:trPr>
          <w:trHeight w:hRule="exact" w:val="397"/>
          <w:jc w:val="center"/>
        </w:trPr>
        <w:tc>
          <w:tcPr>
            <w:tcW w:w="2115"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hint="eastAsia"/>
                <w:kern w:val="0"/>
                <w:sz w:val="24"/>
                <w:szCs w:val="24"/>
              </w:rPr>
              <w:t>[</w:t>
            </w:r>
            <w:r>
              <w:rPr>
                <w:rFonts w:ascii="宋体" w:hAnsi="宋体" w:cs="Arial"/>
                <w:kern w:val="0"/>
                <w:sz w:val="24"/>
                <w:szCs w:val="24"/>
              </w:rPr>
              <w:t>160,320)</w:t>
            </w:r>
          </w:p>
        </w:tc>
        <w:tc>
          <w:tcPr>
            <w:tcW w:w="64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hint="eastAsia"/>
                <w:kern w:val="0"/>
                <w:sz w:val="24"/>
                <w:szCs w:val="24"/>
              </w:rPr>
              <w:t>较大风险</w:t>
            </w:r>
          </w:p>
        </w:tc>
      </w:tr>
      <w:tr w:rsidR="0091454F" w:rsidTr="0045558C">
        <w:trPr>
          <w:trHeight w:hRule="exact" w:val="397"/>
          <w:jc w:val="center"/>
        </w:trPr>
        <w:tc>
          <w:tcPr>
            <w:tcW w:w="2115"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[70-160)</w:t>
            </w:r>
          </w:p>
        </w:tc>
        <w:tc>
          <w:tcPr>
            <w:tcW w:w="64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hint="eastAsia"/>
                <w:kern w:val="0"/>
                <w:sz w:val="24"/>
                <w:szCs w:val="24"/>
              </w:rPr>
              <w:t>一般风险</w:t>
            </w:r>
          </w:p>
        </w:tc>
      </w:tr>
      <w:tr w:rsidR="0091454F" w:rsidTr="0045558C">
        <w:trPr>
          <w:trHeight w:hRule="exact" w:val="397"/>
          <w:jc w:val="center"/>
        </w:trPr>
        <w:tc>
          <w:tcPr>
            <w:tcW w:w="2115"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kern w:val="0"/>
                <w:sz w:val="24"/>
                <w:szCs w:val="24"/>
              </w:rPr>
              <w:t>&lt;</w:t>
            </w:r>
            <w:r>
              <w:rPr>
                <w:rFonts w:ascii="宋体" w:hAnsi="宋体" w:cs="Arial" w:hint="eastAsia"/>
                <w:kern w:val="0"/>
                <w:sz w:val="24"/>
                <w:szCs w:val="24"/>
              </w:rPr>
              <w:t xml:space="preserve"> </w:t>
            </w:r>
            <w:r>
              <w:rPr>
                <w:rFonts w:ascii="宋体" w:hAnsi="宋体" w:cs="Arial"/>
                <w:kern w:val="0"/>
                <w:sz w:val="24"/>
                <w:szCs w:val="24"/>
              </w:rPr>
              <w:t>70</w:t>
            </w:r>
          </w:p>
        </w:tc>
        <w:tc>
          <w:tcPr>
            <w:tcW w:w="6462" w:type="dxa"/>
            <w:shd w:val="clear" w:color="auto" w:fill="FFFFFF"/>
            <w:tcMar>
              <w:top w:w="30" w:type="dxa"/>
              <w:left w:w="150" w:type="dxa"/>
              <w:bottom w:w="30" w:type="dxa"/>
              <w:right w:w="150" w:type="dxa"/>
            </w:tcMar>
            <w:vAlign w:val="center"/>
          </w:tcPr>
          <w:p w:rsidR="0091454F" w:rsidRDefault="0091454F" w:rsidP="0045558C">
            <w:pPr>
              <w:widowControl/>
              <w:spacing w:line="260" w:lineRule="exact"/>
              <w:jc w:val="center"/>
              <w:rPr>
                <w:rFonts w:ascii="宋体" w:hAnsi="宋体" w:cs="Arial"/>
                <w:kern w:val="0"/>
                <w:sz w:val="24"/>
                <w:szCs w:val="24"/>
              </w:rPr>
            </w:pPr>
            <w:r>
              <w:rPr>
                <w:rFonts w:ascii="宋体" w:hAnsi="宋体" w:cs="Arial" w:hint="eastAsia"/>
                <w:kern w:val="0"/>
                <w:sz w:val="24"/>
                <w:szCs w:val="24"/>
              </w:rPr>
              <w:t>低风险</w:t>
            </w:r>
          </w:p>
        </w:tc>
      </w:tr>
    </w:tbl>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注：LEC风险评价法是一种简单易行的，评价操作人员在具有潜在危险性环境中作业时危险性的半定量评价法。值得注意的是，LEC风险评价法对危险等级的划分，一定程度上凭经验判断，应用时需要考虑其局限性，根据实际情况予以修正。</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示例：</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评估“综掘掘进作业，顶板冒落，人员受到伤害”风险：</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L：可能性，即冒顶的可能性，取值3（可能，但不经常）；</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E：暴露频度，取值6（每天工作时间内暴露）；</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C：后果，取值15（1～2人死亡）；</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D：风险大小，3×6×15=270 ；</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查表，D值在“</w:t>
      </w:r>
      <w:r>
        <w:rPr>
          <w:rFonts w:ascii="仿宋_GB2312" w:eastAsia="仿宋_GB2312" w:hAnsi="仿宋_GB2312" w:cs="仿宋_GB2312" w:hint="eastAsia"/>
          <w:kern w:val="0"/>
          <w:sz w:val="24"/>
          <w:szCs w:val="24"/>
        </w:rPr>
        <w:t>[160,320)</w:t>
      </w:r>
      <w:r>
        <w:rPr>
          <w:rFonts w:ascii="仿宋_GB2312" w:eastAsia="仿宋_GB2312" w:hAnsi="仿宋_GB2312" w:cs="仿宋_GB2312" w:hint="eastAsia"/>
          <w:sz w:val="24"/>
          <w:szCs w:val="24"/>
        </w:rPr>
        <w:t>”区间，即较大风险，则：</w:t>
      </w:r>
    </w:p>
    <w:p w:rsidR="0091454F" w:rsidRDefault="0091454F" w:rsidP="0091454F">
      <w:pPr>
        <w:spacing w:line="4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“综掘掘进作业，顶板冒落，人员受到伤害”风险等级为：较大风险。</w:t>
      </w:r>
    </w:p>
    <w:p w:rsidR="0091454F" w:rsidRDefault="0091454F" w:rsidP="0091454F">
      <w:pPr>
        <w:spacing w:line="400" w:lineRule="exact"/>
        <w:rPr>
          <w:rFonts w:ascii="仿宋_GB2312" w:eastAsia="仿宋_GB2312" w:hAnsi="仿宋_GB2312" w:cs="仿宋_GB2312"/>
          <w:b/>
          <w:bCs/>
          <w:sz w:val="24"/>
          <w:szCs w:val="24"/>
        </w:rPr>
      </w:pPr>
    </w:p>
    <w:p w:rsidR="0091454F" w:rsidRDefault="0091454F" w:rsidP="0091454F">
      <w:pPr>
        <w:spacing w:line="400" w:lineRule="exact"/>
        <w:rPr>
          <w:rFonts w:ascii="宋体" w:hAnsi="宋体"/>
          <w:b/>
          <w:bCs/>
          <w:szCs w:val="21"/>
        </w:rPr>
      </w:pPr>
    </w:p>
    <w:p w:rsidR="0091454F" w:rsidRDefault="0091454F" w:rsidP="0091454F">
      <w:pPr>
        <w:spacing w:line="400" w:lineRule="exact"/>
        <w:rPr>
          <w:rFonts w:ascii="宋体" w:hAnsi="宋体"/>
          <w:b/>
          <w:bCs/>
          <w:szCs w:val="21"/>
        </w:rPr>
      </w:pPr>
    </w:p>
    <w:p w:rsidR="0091454F" w:rsidRDefault="0091454F" w:rsidP="0091454F">
      <w:pPr>
        <w:spacing w:line="400" w:lineRule="exact"/>
        <w:rPr>
          <w:rFonts w:ascii="宋体" w:hAnsi="宋体"/>
          <w:b/>
          <w:bCs/>
          <w:szCs w:val="21"/>
        </w:rPr>
        <w:sectPr w:rsidR="0091454F">
          <w:footerReference w:type="default" r:id="rId9"/>
          <w:pgSz w:w="11906" w:h="16838"/>
          <w:pgMar w:top="1440" w:right="1797" w:bottom="1440" w:left="1797" w:header="851" w:footer="992" w:gutter="0"/>
          <w:pgNumType w:fmt="numberInDash" w:start="33"/>
          <w:cols w:space="720"/>
          <w:docGrid w:type="lines" w:linePitch="312"/>
        </w:sectPr>
      </w:pPr>
    </w:p>
    <w:p w:rsidR="0091454F" w:rsidRDefault="0091454F" w:rsidP="0091454F">
      <w:pPr>
        <w:spacing w:afterLines="50" w:after="156" w:line="400" w:lineRule="exact"/>
        <w:jc w:val="center"/>
        <w:rPr>
          <w:rFonts w:ascii="黑体" w:eastAsia="黑体" w:hAnsi="黑体" w:cs="黑体"/>
          <w:sz w:val="24"/>
          <w:szCs w:val="24"/>
        </w:rPr>
      </w:pPr>
      <w:bookmarkStart w:id="57" w:name="_Toc28908"/>
    </w:p>
    <w:p w:rsidR="0091454F" w:rsidRDefault="0091454F" w:rsidP="0091454F">
      <w:pPr>
        <w:spacing w:afterLines="50" w:after="156" w:line="400" w:lineRule="exact"/>
        <w:jc w:val="center"/>
        <w:rPr>
          <w:rFonts w:ascii="黑体" w:eastAsia="黑体" w:hAnsi="黑体" w:cs="黑体"/>
          <w:sz w:val="24"/>
          <w:szCs w:val="24"/>
        </w:rPr>
      </w:pPr>
      <w:r>
        <w:rPr>
          <w:rFonts w:ascii="黑体" w:eastAsia="黑体" w:hAnsi="黑体" w:cs="黑体" w:hint="eastAsia"/>
          <w:sz w:val="24"/>
          <w:szCs w:val="24"/>
        </w:rPr>
        <w:t>附录C 安全风险管控清单（资料性附录）</w:t>
      </w:r>
      <w:bookmarkEnd w:id="57"/>
    </w:p>
    <w:p w:rsidR="0091454F" w:rsidRDefault="0091454F" w:rsidP="0091454F">
      <w:pPr>
        <w:spacing w:afterLines="50" w:after="156" w:line="400" w:lineRule="exact"/>
        <w:jc w:val="center"/>
        <w:rPr>
          <w:rFonts w:ascii="黑体" w:eastAsia="黑体" w:hAnsi="黑体" w:cs="黑体"/>
          <w:sz w:val="24"/>
          <w:szCs w:val="24"/>
        </w:rPr>
      </w:pPr>
    </w:p>
    <w:tbl>
      <w:tblPr>
        <w:tblW w:w="13995" w:type="dxa"/>
        <w:jc w:val="center"/>
        <w:tblLayout w:type="fixed"/>
        <w:tblLook w:val="04A0" w:firstRow="1" w:lastRow="0" w:firstColumn="1" w:lastColumn="0" w:noHBand="0" w:noVBand="1"/>
      </w:tblPr>
      <w:tblGrid>
        <w:gridCol w:w="728"/>
        <w:gridCol w:w="992"/>
        <w:gridCol w:w="1276"/>
        <w:gridCol w:w="1276"/>
        <w:gridCol w:w="1276"/>
        <w:gridCol w:w="3118"/>
        <w:gridCol w:w="1134"/>
        <w:gridCol w:w="2977"/>
        <w:gridCol w:w="1218"/>
      </w:tblGrid>
      <w:tr w:rsidR="0091454F" w:rsidTr="0045558C">
        <w:trPr>
          <w:trHeight w:val="964"/>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序号</w:t>
            </w:r>
          </w:p>
        </w:tc>
        <w:tc>
          <w:tcPr>
            <w:tcW w:w="992"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风险点</w:t>
            </w:r>
          </w:p>
        </w:tc>
        <w:tc>
          <w:tcPr>
            <w:tcW w:w="127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辨识对象</w:t>
            </w:r>
          </w:p>
        </w:tc>
        <w:tc>
          <w:tcPr>
            <w:tcW w:w="127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检查项目</w:t>
            </w:r>
          </w:p>
        </w:tc>
        <w:tc>
          <w:tcPr>
            <w:tcW w:w="1276"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风险类型</w:t>
            </w: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风险描述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风险</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等级</w:t>
            </w:r>
          </w:p>
        </w:tc>
        <w:tc>
          <w:tcPr>
            <w:tcW w:w="2977"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管控措施</w:t>
            </w:r>
          </w:p>
        </w:tc>
        <w:tc>
          <w:tcPr>
            <w:tcW w:w="12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责任岗位</w:t>
            </w:r>
          </w:p>
        </w:tc>
      </w:tr>
      <w:tr w:rsidR="0091454F" w:rsidTr="0045558C">
        <w:trPr>
          <w:trHeight w:val="567"/>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297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567"/>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297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567"/>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297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567"/>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297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567"/>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297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r w:rsidR="0091454F" w:rsidTr="0045558C">
        <w:trPr>
          <w:trHeight w:val="567"/>
          <w:jc w:val="center"/>
        </w:trPr>
        <w:tc>
          <w:tcPr>
            <w:tcW w:w="728" w:type="dxa"/>
            <w:tcBorders>
              <w:top w:val="nil"/>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2977"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c>
          <w:tcPr>
            <w:tcW w:w="1218" w:type="dxa"/>
            <w:tcBorders>
              <w:top w:val="nil"/>
              <w:left w:val="nil"/>
              <w:bottom w:val="single" w:sz="4" w:space="0" w:color="auto"/>
              <w:right w:val="single" w:sz="4" w:space="0" w:color="auto"/>
            </w:tcBorders>
            <w:shd w:val="clear" w:color="auto" w:fill="auto"/>
            <w:vAlign w:val="center"/>
          </w:tcPr>
          <w:p w:rsidR="0091454F" w:rsidRDefault="0091454F" w:rsidP="0045558C">
            <w:pPr>
              <w:widowControl/>
              <w:jc w:val="center"/>
              <w:rPr>
                <w:rFonts w:cs="宋体"/>
                <w:color w:val="000000"/>
                <w:kern w:val="0"/>
                <w:sz w:val="24"/>
                <w:szCs w:val="24"/>
              </w:rPr>
            </w:pPr>
          </w:p>
        </w:tc>
      </w:tr>
    </w:tbl>
    <w:p w:rsidR="0091454F" w:rsidRDefault="0091454F" w:rsidP="0091454F">
      <w:pPr>
        <w:spacing w:line="400" w:lineRule="exact"/>
        <w:rPr>
          <w:rFonts w:ascii="宋体" w:hAnsi="宋体"/>
          <w:b/>
          <w:bCs/>
          <w:szCs w:val="21"/>
        </w:rPr>
      </w:pPr>
    </w:p>
    <w:p w:rsidR="0091454F" w:rsidRDefault="0091454F" w:rsidP="0091454F">
      <w:pPr>
        <w:spacing w:line="400" w:lineRule="exact"/>
        <w:ind w:firstLineChars="200" w:firstLine="482"/>
        <w:jc w:val="center"/>
        <w:outlineLvl w:val="1"/>
        <w:rPr>
          <w:rFonts w:ascii="宋体" w:eastAsia="宋体" w:hAnsi="宋体"/>
          <w:b/>
          <w:bCs/>
          <w:sz w:val="24"/>
          <w:szCs w:val="24"/>
        </w:rPr>
        <w:sectPr w:rsidR="0091454F">
          <w:footerReference w:type="default" r:id="rId10"/>
          <w:pgSz w:w="16838" w:h="11906" w:orient="landscape"/>
          <w:pgMar w:top="1797" w:right="1440" w:bottom="1797" w:left="1440" w:header="851" w:footer="992" w:gutter="0"/>
          <w:pgNumType w:fmt="numberInDash" w:start="35"/>
          <w:cols w:space="720"/>
          <w:docGrid w:type="lines" w:linePitch="312"/>
        </w:sectPr>
      </w:pPr>
    </w:p>
    <w:p w:rsidR="0091454F" w:rsidRDefault="0091454F" w:rsidP="0091454F">
      <w:pPr>
        <w:spacing w:line="400" w:lineRule="exact"/>
        <w:ind w:firstLineChars="200" w:firstLine="480"/>
        <w:jc w:val="center"/>
        <w:outlineLvl w:val="1"/>
        <w:rPr>
          <w:rFonts w:ascii="黑体" w:eastAsia="黑体" w:hAnsi="黑体" w:cs="黑体"/>
          <w:sz w:val="24"/>
          <w:szCs w:val="24"/>
        </w:rPr>
      </w:pPr>
      <w:bookmarkStart w:id="58" w:name="_Toc25545"/>
    </w:p>
    <w:p w:rsidR="0091454F" w:rsidRDefault="0091454F" w:rsidP="0091454F">
      <w:pPr>
        <w:spacing w:line="400" w:lineRule="exact"/>
        <w:ind w:firstLineChars="200" w:firstLine="480"/>
        <w:jc w:val="center"/>
        <w:outlineLvl w:val="1"/>
        <w:rPr>
          <w:rFonts w:ascii="黑体" w:eastAsia="黑体" w:hAnsi="黑体" w:cs="黑体"/>
          <w:sz w:val="24"/>
          <w:szCs w:val="24"/>
        </w:rPr>
      </w:pPr>
      <w:r>
        <w:rPr>
          <w:rFonts w:ascii="黑体" w:eastAsia="黑体" w:hAnsi="黑体" w:cs="黑体" w:hint="eastAsia"/>
          <w:sz w:val="24"/>
          <w:szCs w:val="24"/>
        </w:rPr>
        <w:t>附录D 隐患台账（资料性附录）</w:t>
      </w:r>
      <w:bookmarkEnd w:id="58"/>
    </w:p>
    <w:p w:rsidR="0091454F" w:rsidRDefault="0091454F" w:rsidP="0091454F">
      <w:pPr>
        <w:spacing w:line="400" w:lineRule="exact"/>
        <w:ind w:firstLineChars="200" w:firstLine="480"/>
        <w:jc w:val="center"/>
        <w:outlineLvl w:val="1"/>
        <w:rPr>
          <w:rFonts w:ascii="黑体" w:eastAsia="黑体" w:hAnsi="黑体" w:cs="黑体"/>
          <w:sz w:val="24"/>
          <w:szCs w:val="24"/>
        </w:rPr>
      </w:pPr>
    </w:p>
    <w:tbl>
      <w:tblPr>
        <w:tblW w:w="14174" w:type="dxa"/>
        <w:jc w:val="center"/>
        <w:tblLayout w:type="fixed"/>
        <w:tblLook w:val="04A0" w:firstRow="1" w:lastRow="0" w:firstColumn="1" w:lastColumn="0" w:noHBand="0" w:noVBand="1"/>
      </w:tblPr>
      <w:tblGrid>
        <w:gridCol w:w="759"/>
        <w:gridCol w:w="956"/>
        <w:gridCol w:w="797"/>
        <w:gridCol w:w="1117"/>
        <w:gridCol w:w="823"/>
        <w:gridCol w:w="746"/>
        <w:gridCol w:w="745"/>
        <w:gridCol w:w="746"/>
        <w:gridCol w:w="916"/>
        <w:gridCol w:w="1330"/>
        <w:gridCol w:w="899"/>
        <w:gridCol w:w="796"/>
        <w:gridCol w:w="953"/>
        <w:gridCol w:w="1199"/>
        <w:gridCol w:w="1392"/>
      </w:tblGrid>
      <w:tr w:rsidR="0091454F" w:rsidTr="0045558C">
        <w:trPr>
          <w:trHeight w:val="914"/>
          <w:jc w:val="center"/>
        </w:trPr>
        <w:tc>
          <w:tcPr>
            <w:tcW w:w="759"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序号</w:t>
            </w:r>
          </w:p>
        </w:tc>
        <w:tc>
          <w:tcPr>
            <w:tcW w:w="956"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排查</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日期</w:t>
            </w:r>
          </w:p>
        </w:tc>
        <w:tc>
          <w:tcPr>
            <w:tcW w:w="797"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排查类型</w:t>
            </w:r>
          </w:p>
        </w:tc>
        <w:tc>
          <w:tcPr>
            <w:tcW w:w="1117"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排查人</w:t>
            </w: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隐患地点</w:t>
            </w:r>
          </w:p>
        </w:tc>
        <w:tc>
          <w:tcPr>
            <w:tcW w:w="746"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隐患描述</w:t>
            </w: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专业</w:t>
            </w: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隐患类型</w:t>
            </w:r>
          </w:p>
        </w:tc>
        <w:tc>
          <w:tcPr>
            <w:tcW w:w="916"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隐患等级</w:t>
            </w:r>
          </w:p>
        </w:tc>
        <w:tc>
          <w:tcPr>
            <w:tcW w:w="1330"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治理措施</w:t>
            </w:r>
          </w:p>
        </w:tc>
        <w:tc>
          <w:tcPr>
            <w:tcW w:w="899"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责任单位</w:t>
            </w:r>
          </w:p>
        </w:tc>
        <w:tc>
          <w:tcPr>
            <w:tcW w:w="796"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责任人</w:t>
            </w: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治理</w:t>
            </w:r>
          </w:p>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期限</w:t>
            </w:r>
          </w:p>
        </w:tc>
        <w:tc>
          <w:tcPr>
            <w:tcW w:w="1199"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验收人</w:t>
            </w: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销号日期</w:t>
            </w: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r w:rsidR="0091454F" w:rsidTr="0045558C">
        <w:trPr>
          <w:trHeight w:val="567"/>
          <w:jc w:val="center"/>
        </w:trPr>
        <w:tc>
          <w:tcPr>
            <w:tcW w:w="759" w:type="dxa"/>
            <w:tcBorders>
              <w:top w:val="nil"/>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7"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117" w:type="dxa"/>
            <w:tcBorders>
              <w:top w:val="single" w:sz="4" w:space="0" w:color="auto"/>
              <w:left w:val="single" w:sz="4" w:space="0" w:color="auto"/>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82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5" w:type="dxa"/>
            <w:tcBorders>
              <w:top w:val="single" w:sz="4" w:space="0" w:color="auto"/>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46"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1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330"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899"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796" w:type="dxa"/>
            <w:tcBorders>
              <w:top w:val="nil"/>
              <w:left w:val="nil"/>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953"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c>
          <w:tcPr>
            <w:tcW w:w="1199" w:type="dxa"/>
            <w:tcBorders>
              <w:top w:val="single" w:sz="4" w:space="0" w:color="auto"/>
              <w:left w:val="nil"/>
              <w:bottom w:val="single" w:sz="4" w:space="0" w:color="auto"/>
              <w:right w:val="single" w:sz="4" w:space="0" w:color="auto"/>
            </w:tcBorders>
          </w:tcPr>
          <w:p w:rsidR="0091454F" w:rsidRDefault="0091454F" w:rsidP="0045558C">
            <w:pPr>
              <w:widowControl/>
              <w:jc w:val="center"/>
              <w:rPr>
                <w:rFonts w:cs="宋体"/>
                <w:color w:val="000000"/>
                <w:kern w:val="0"/>
                <w:sz w:val="22"/>
              </w:rPr>
            </w:pPr>
          </w:p>
        </w:tc>
        <w:tc>
          <w:tcPr>
            <w:tcW w:w="1392" w:type="dxa"/>
            <w:tcBorders>
              <w:top w:val="single" w:sz="4" w:space="0" w:color="auto"/>
              <w:left w:val="single" w:sz="4" w:space="0" w:color="auto"/>
              <w:bottom w:val="single" w:sz="4" w:space="0" w:color="auto"/>
              <w:right w:val="single" w:sz="4" w:space="0" w:color="auto"/>
            </w:tcBorders>
            <w:vAlign w:val="center"/>
          </w:tcPr>
          <w:p w:rsidR="0091454F" w:rsidRDefault="0091454F" w:rsidP="0045558C">
            <w:pPr>
              <w:widowControl/>
              <w:jc w:val="center"/>
              <w:rPr>
                <w:rFonts w:cs="宋体"/>
                <w:color w:val="000000"/>
                <w:kern w:val="0"/>
                <w:sz w:val="22"/>
              </w:rPr>
            </w:pPr>
          </w:p>
        </w:tc>
      </w:tr>
    </w:tbl>
    <w:p w:rsidR="0091454F" w:rsidRDefault="0091454F" w:rsidP="0091454F">
      <w:pPr>
        <w:spacing w:line="400" w:lineRule="exact"/>
        <w:rPr>
          <w:rFonts w:ascii="宋体" w:hAnsi="宋体"/>
          <w:b/>
          <w:bCs/>
          <w:szCs w:val="21"/>
        </w:rPr>
        <w:sectPr w:rsidR="0091454F">
          <w:pgSz w:w="16838" w:h="11906" w:orient="landscape"/>
          <w:pgMar w:top="1797" w:right="1440" w:bottom="1797" w:left="1440" w:header="851" w:footer="992" w:gutter="0"/>
          <w:pgNumType w:fmt="numberInDash"/>
          <w:cols w:space="720"/>
          <w:docGrid w:type="lines" w:linePitch="312"/>
        </w:sectPr>
      </w:pPr>
    </w:p>
    <w:p w:rsidR="0091454F" w:rsidRDefault="0091454F" w:rsidP="0091454F">
      <w:pPr>
        <w:spacing w:line="600" w:lineRule="exact"/>
        <w:jc w:val="center"/>
        <w:outlineLvl w:val="1"/>
        <w:rPr>
          <w:rFonts w:ascii="黑体" w:eastAsia="黑体" w:hAnsi="黑体" w:cs="黑体"/>
          <w:sz w:val="32"/>
          <w:szCs w:val="32"/>
        </w:rPr>
      </w:pPr>
      <w:bookmarkStart w:id="59" w:name="_Toc27349"/>
      <w:r>
        <w:rPr>
          <w:rFonts w:ascii="黑体" w:eastAsia="黑体" w:hAnsi="黑体" w:cs="黑体" w:hint="eastAsia"/>
          <w:sz w:val="32"/>
          <w:szCs w:val="32"/>
        </w:rPr>
        <w:lastRenderedPageBreak/>
        <w:t>附录E 重大风险认定情形（规范性附录）</w:t>
      </w:r>
      <w:bookmarkEnd w:id="59"/>
    </w:p>
    <w:p w:rsidR="0091454F" w:rsidRDefault="0091454F" w:rsidP="009145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煤矿重大风险除按照评估方法结合矿井实际情况自行确定外，有下列情形之一的，应直接确定为重大风险，如表E.1所示。</w:t>
      </w:r>
    </w:p>
    <w:p w:rsidR="0091454F" w:rsidRDefault="0091454F" w:rsidP="0091454F">
      <w:pPr>
        <w:spacing w:line="400" w:lineRule="exact"/>
        <w:ind w:firstLineChars="200" w:firstLine="560"/>
        <w:jc w:val="center"/>
        <w:rPr>
          <w:rFonts w:ascii="黑体" w:eastAsia="黑体" w:hAnsi="黑体" w:cs="黑体"/>
          <w:sz w:val="28"/>
          <w:szCs w:val="28"/>
        </w:rPr>
      </w:pPr>
      <w:r>
        <w:rPr>
          <w:rFonts w:ascii="黑体" w:eastAsia="黑体" w:hAnsi="黑体" w:cs="黑体" w:hint="eastAsia"/>
          <w:sz w:val="28"/>
          <w:szCs w:val="28"/>
        </w:rPr>
        <w:t>表E.1 重大风险认定情形</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480"/>
        <w:gridCol w:w="5799"/>
      </w:tblGrid>
      <w:tr w:rsidR="0091454F" w:rsidTr="0045558C">
        <w:trPr>
          <w:trHeight w:val="602"/>
          <w:jc w:val="center"/>
        </w:trPr>
        <w:tc>
          <w:tcPr>
            <w:tcW w:w="1080" w:type="dxa"/>
            <w:shd w:val="clear" w:color="auto" w:fill="auto"/>
            <w:vAlign w:val="center"/>
          </w:tcPr>
          <w:p w:rsidR="0091454F" w:rsidRDefault="0091454F" w:rsidP="0045558C">
            <w:pPr>
              <w:widowControl/>
              <w:jc w:val="center"/>
              <w:rPr>
                <w:rFonts w:ascii="黑体" w:eastAsia="黑体" w:hAnsi="黑体" w:cs="黑体"/>
                <w:color w:val="000000"/>
                <w:kern w:val="0"/>
                <w:sz w:val="22"/>
                <w:szCs w:val="18"/>
              </w:rPr>
            </w:pPr>
            <w:r>
              <w:rPr>
                <w:rFonts w:ascii="黑体" w:eastAsia="黑体" w:hAnsi="黑体" w:cs="黑体" w:hint="eastAsia"/>
                <w:color w:val="000000"/>
                <w:kern w:val="0"/>
                <w:sz w:val="22"/>
                <w:szCs w:val="18"/>
              </w:rPr>
              <w:t>序号</w:t>
            </w:r>
          </w:p>
        </w:tc>
        <w:tc>
          <w:tcPr>
            <w:tcW w:w="1480" w:type="dxa"/>
            <w:shd w:val="clear" w:color="auto" w:fill="auto"/>
            <w:vAlign w:val="center"/>
          </w:tcPr>
          <w:p w:rsidR="0091454F" w:rsidRDefault="0091454F" w:rsidP="0045558C">
            <w:pPr>
              <w:widowControl/>
              <w:jc w:val="center"/>
              <w:rPr>
                <w:rFonts w:ascii="黑体" w:eastAsia="黑体" w:hAnsi="黑体" w:cs="黑体"/>
                <w:color w:val="000000"/>
                <w:kern w:val="0"/>
                <w:sz w:val="22"/>
                <w:szCs w:val="18"/>
              </w:rPr>
            </w:pPr>
            <w:r>
              <w:rPr>
                <w:rFonts w:ascii="黑体" w:eastAsia="黑体" w:hAnsi="黑体" w:cs="黑体" w:hint="eastAsia"/>
                <w:color w:val="000000"/>
                <w:kern w:val="0"/>
                <w:sz w:val="22"/>
                <w:szCs w:val="18"/>
              </w:rPr>
              <w:t>风险类型</w:t>
            </w:r>
          </w:p>
        </w:tc>
        <w:tc>
          <w:tcPr>
            <w:tcW w:w="5799" w:type="dxa"/>
            <w:shd w:val="clear" w:color="auto" w:fill="auto"/>
            <w:vAlign w:val="center"/>
          </w:tcPr>
          <w:p w:rsidR="0091454F" w:rsidRDefault="0091454F" w:rsidP="0045558C">
            <w:pPr>
              <w:widowControl/>
              <w:jc w:val="center"/>
              <w:rPr>
                <w:rFonts w:ascii="黑体" w:eastAsia="黑体" w:hAnsi="黑体" w:cs="黑体"/>
                <w:color w:val="000000"/>
                <w:kern w:val="0"/>
                <w:sz w:val="22"/>
                <w:szCs w:val="18"/>
              </w:rPr>
            </w:pPr>
            <w:r>
              <w:rPr>
                <w:rFonts w:ascii="黑体" w:eastAsia="黑体" w:hAnsi="黑体" w:cs="黑体" w:hint="eastAsia"/>
                <w:color w:val="000000"/>
                <w:kern w:val="0"/>
                <w:sz w:val="22"/>
                <w:szCs w:val="18"/>
              </w:rPr>
              <w:t>重大风险认定情形</w:t>
            </w:r>
          </w:p>
        </w:tc>
      </w:tr>
      <w:tr w:rsidR="0091454F" w:rsidTr="0045558C">
        <w:trPr>
          <w:trHeight w:val="477"/>
          <w:jc w:val="center"/>
        </w:trPr>
        <w:tc>
          <w:tcPr>
            <w:tcW w:w="1080" w:type="dxa"/>
            <w:shd w:val="clear" w:color="auto" w:fill="auto"/>
            <w:vAlign w:val="center"/>
          </w:tcPr>
          <w:p w:rsidR="0091454F" w:rsidRDefault="0091454F" w:rsidP="0045558C">
            <w:pPr>
              <w:widowControl/>
              <w:jc w:val="center"/>
              <w:rPr>
                <w:rFonts w:asciiTheme="minorEastAsia" w:hAnsiTheme="minorEastAsia" w:cstheme="minorEastAsia"/>
                <w:color w:val="000000"/>
                <w:kern w:val="0"/>
                <w:sz w:val="22"/>
                <w:szCs w:val="18"/>
              </w:rPr>
            </w:pPr>
            <w:r>
              <w:rPr>
                <w:rFonts w:asciiTheme="minorEastAsia" w:hAnsiTheme="minorEastAsia" w:cstheme="minorEastAsia" w:hint="eastAsia"/>
                <w:color w:val="000000"/>
                <w:kern w:val="0"/>
                <w:sz w:val="22"/>
                <w:szCs w:val="18"/>
              </w:rPr>
              <w:t>1</w:t>
            </w:r>
          </w:p>
        </w:tc>
        <w:tc>
          <w:tcPr>
            <w:tcW w:w="1480" w:type="dxa"/>
            <w:shd w:val="clear" w:color="auto" w:fill="auto"/>
            <w:vAlign w:val="center"/>
          </w:tcPr>
          <w:p w:rsidR="0091454F" w:rsidRDefault="0091454F" w:rsidP="0045558C">
            <w:pPr>
              <w:widowControl/>
              <w:jc w:val="center"/>
              <w:rPr>
                <w:rFonts w:cs="宋体"/>
                <w:color w:val="000000"/>
                <w:kern w:val="0"/>
                <w:sz w:val="22"/>
                <w:szCs w:val="18"/>
              </w:rPr>
            </w:pPr>
            <w:r>
              <w:rPr>
                <w:rFonts w:cs="宋体" w:hint="eastAsia"/>
                <w:color w:val="000000"/>
                <w:kern w:val="0"/>
                <w:sz w:val="22"/>
                <w:szCs w:val="18"/>
              </w:rPr>
              <w:t>瓦斯</w:t>
            </w: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高瓦斯及突出矿井，或需要抽采的低瓦斯矿井的瓦斯风险</w:t>
            </w:r>
          </w:p>
        </w:tc>
      </w:tr>
      <w:tr w:rsidR="0091454F" w:rsidTr="0045558C">
        <w:trPr>
          <w:trHeight w:val="577"/>
          <w:jc w:val="center"/>
        </w:trPr>
        <w:tc>
          <w:tcPr>
            <w:tcW w:w="1080" w:type="dxa"/>
            <w:shd w:val="clear" w:color="auto" w:fill="auto"/>
            <w:vAlign w:val="center"/>
          </w:tcPr>
          <w:p w:rsidR="0091454F" w:rsidRDefault="0091454F" w:rsidP="0045558C">
            <w:pPr>
              <w:widowControl/>
              <w:jc w:val="center"/>
              <w:rPr>
                <w:rFonts w:asciiTheme="minorEastAsia" w:hAnsiTheme="minorEastAsia" w:cstheme="minorEastAsia"/>
                <w:color w:val="000000"/>
                <w:kern w:val="0"/>
                <w:sz w:val="22"/>
                <w:szCs w:val="18"/>
              </w:rPr>
            </w:pPr>
            <w:r>
              <w:rPr>
                <w:rFonts w:asciiTheme="minorEastAsia" w:hAnsiTheme="minorEastAsia" w:cstheme="minorEastAsia" w:hint="eastAsia"/>
                <w:color w:val="000000"/>
                <w:kern w:val="0"/>
                <w:sz w:val="22"/>
                <w:szCs w:val="18"/>
              </w:rPr>
              <w:t>2</w:t>
            </w:r>
          </w:p>
        </w:tc>
        <w:tc>
          <w:tcPr>
            <w:tcW w:w="1480" w:type="dxa"/>
            <w:shd w:val="clear" w:color="auto" w:fill="auto"/>
            <w:vAlign w:val="center"/>
          </w:tcPr>
          <w:p w:rsidR="0091454F" w:rsidRDefault="0091454F" w:rsidP="0045558C">
            <w:pPr>
              <w:widowControl/>
              <w:jc w:val="center"/>
              <w:rPr>
                <w:rFonts w:cs="宋体"/>
                <w:color w:val="000000"/>
                <w:kern w:val="0"/>
                <w:sz w:val="22"/>
                <w:szCs w:val="18"/>
              </w:rPr>
            </w:pPr>
            <w:r>
              <w:rPr>
                <w:rFonts w:cs="宋体" w:hint="eastAsia"/>
                <w:color w:val="000000"/>
                <w:kern w:val="0"/>
                <w:sz w:val="22"/>
                <w:szCs w:val="18"/>
              </w:rPr>
              <w:t>煤尘</w:t>
            </w: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开采煤层有煤尘爆炸危险性的矿井的煤尘爆炸风险</w:t>
            </w:r>
          </w:p>
        </w:tc>
      </w:tr>
      <w:tr w:rsidR="0091454F" w:rsidTr="0045558C">
        <w:trPr>
          <w:trHeight w:val="814"/>
          <w:jc w:val="center"/>
        </w:trPr>
        <w:tc>
          <w:tcPr>
            <w:tcW w:w="1080" w:type="dxa"/>
            <w:vMerge w:val="restart"/>
            <w:shd w:val="clear" w:color="auto" w:fill="auto"/>
            <w:vAlign w:val="center"/>
          </w:tcPr>
          <w:p w:rsidR="0091454F" w:rsidRDefault="0091454F" w:rsidP="0045558C">
            <w:pPr>
              <w:widowControl/>
              <w:jc w:val="center"/>
              <w:rPr>
                <w:rFonts w:asciiTheme="minorEastAsia" w:hAnsiTheme="minorEastAsia" w:cstheme="minorEastAsia"/>
                <w:color w:val="000000"/>
                <w:kern w:val="0"/>
                <w:sz w:val="22"/>
                <w:szCs w:val="18"/>
              </w:rPr>
            </w:pPr>
            <w:r>
              <w:rPr>
                <w:rFonts w:asciiTheme="minorEastAsia" w:hAnsiTheme="minorEastAsia" w:cstheme="minorEastAsia" w:hint="eastAsia"/>
                <w:color w:val="000000"/>
                <w:kern w:val="0"/>
                <w:sz w:val="22"/>
                <w:szCs w:val="18"/>
              </w:rPr>
              <w:t>3</w:t>
            </w:r>
          </w:p>
        </w:tc>
        <w:tc>
          <w:tcPr>
            <w:tcW w:w="1480" w:type="dxa"/>
            <w:vMerge w:val="restart"/>
            <w:shd w:val="clear" w:color="auto" w:fill="auto"/>
            <w:vAlign w:val="center"/>
          </w:tcPr>
          <w:p w:rsidR="0091454F" w:rsidRDefault="0091454F" w:rsidP="0045558C">
            <w:pPr>
              <w:widowControl/>
              <w:jc w:val="center"/>
              <w:rPr>
                <w:rFonts w:cs="宋体"/>
                <w:color w:val="000000"/>
                <w:kern w:val="0"/>
                <w:sz w:val="22"/>
                <w:szCs w:val="18"/>
              </w:rPr>
            </w:pPr>
            <w:r>
              <w:rPr>
                <w:rFonts w:cs="宋体" w:hint="eastAsia"/>
                <w:color w:val="000000"/>
                <w:kern w:val="0"/>
                <w:sz w:val="22"/>
                <w:szCs w:val="18"/>
              </w:rPr>
              <w:t>火灾</w:t>
            </w: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开采Ⅱ类自燃煤层且工作面采用综采放顶煤工艺的矿井的火灾风险</w:t>
            </w:r>
          </w:p>
        </w:tc>
      </w:tr>
      <w:tr w:rsidR="0091454F" w:rsidTr="0045558C">
        <w:trPr>
          <w:trHeight w:val="517"/>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asciiTheme="minorEastAsia" w:hAnsiTheme="minorEastAsia" w:cstheme="minorEastAsia"/>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煤层自然发火期</w:t>
            </w:r>
            <w:r>
              <w:rPr>
                <w:rFonts w:cs="宋体" w:hint="eastAsia"/>
                <w:color w:val="000000"/>
                <w:kern w:val="0"/>
                <w:sz w:val="22"/>
                <w:szCs w:val="18"/>
              </w:rPr>
              <w:t>&lt;3</w:t>
            </w:r>
            <w:r>
              <w:rPr>
                <w:rFonts w:cs="宋体" w:hint="eastAsia"/>
                <w:color w:val="000000"/>
                <w:kern w:val="0"/>
                <w:sz w:val="22"/>
                <w:szCs w:val="18"/>
              </w:rPr>
              <w:t>个月的矿井的火灾风险</w:t>
            </w:r>
          </w:p>
        </w:tc>
      </w:tr>
      <w:tr w:rsidR="0091454F" w:rsidTr="0045558C">
        <w:trPr>
          <w:trHeight w:val="789"/>
          <w:jc w:val="center"/>
        </w:trPr>
        <w:tc>
          <w:tcPr>
            <w:tcW w:w="1080" w:type="dxa"/>
            <w:vMerge w:val="restart"/>
            <w:shd w:val="clear" w:color="auto" w:fill="auto"/>
            <w:vAlign w:val="center"/>
          </w:tcPr>
          <w:p w:rsidR="0091454F" w:rsidRDefault="0091454F" w:rsidP="0045558C">
            <w:pPr>
              <w:widowControl/>
              <w:jc w:val="center"/>
              <w:rPr>
                <w:rFonts w:asciiTheme="minorEastAsia" w:hAnsiTheme="minorEastAsia" w:cstheme="minorEastAsia"/>
                <w:color w:val="000000"/>
                <w:kern w:val="0"/>
                <w:sz w:val="22"/>
                <w:szCs w:val="18"/>
              </w:rPr>
            </w:pPr>
            <w:r>
              <w:rPr>
                <w:rFonts w:asciiTheme="minorEastAsia" w:hAnsiTheme="minorEastAsia" w:cstheme="minorEastAsia" w:hint="eastAsia"/>
                <w:color w:val="000000"/>
                <w:kern w:val="0"/>
                <w:sz w:val="22"/>
                <w:szCs w:val="18"/>
              </w:rPr>
              <w:t>4</w:t>
            </w:r>
          </w:p>
        </w:tc>
        <w:tc>
          <w:tcPr>
            <w:tcW w:w="1480" w:type="dxa"/>
            <w:vMerge w:val="restart"/>
            <w:shd w:val="clear" w:color="auto" w:fill="auto"/>
            <w:vAlign w:val="center"/>
          </w:tcPr>
          <w:p w:rsidR="0091454F" w:rsidRDefault="0091454F" w:rsidP="0045558C">
            <w:pPr>
              <w:widowControl/>
              <w:jc w:val="center"/>
              <w:rPr>
                <w:rFonts w:cs="宋体"/>
                <w:color w:val="000000"/>
                <w:kern w:val="0"/>
                <w:sz w:val="22"/>
                <w:szCs w:val="18"/>
              </w:rPr>
            </w:pPr>
            <w:r>
              <w:rPr>
                <w:rFonts w:cs="宋体" w:hint="eastAsia"/>
                <w:color w:val="000000"/>
                <w:kern w:val="0"/>
                <w:sz w:val="22"/>
                <w:szCs w:val="18"/>
              </w:rPr>
              <w:t>水灾</w:t>
            </w: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水文地质条件复杂及以上，或奥灰突水系数≥</w:t>
            </w:r>
            <w:r>
              <w:rPr>
                <w:rFonts w:cs="宋体" w:hint="eastAsia"/>
                <w:color w:val="000000"/>
                <w:kern w:val="0"/>
                <w:sz w:val="22"/>
                <w:szCs w:val="18"/>
              </w:rPr>
              <w:t>0.06</w:t>
            </w:r>
            <w:r>
              <w:rPr>
                <w:rFonts w:cs="宋体" w:hint="eastAsia"/>
                <w:color w:val="000000"/>
                <w:kern w:val="0"/>
                <w:sz w:val="22"/>
                <w:szCs w:val="18"/>
              </w:rPr>
              <w:t>的矿井的水灾风险</w:t>
            </w:r>
          </w:p>
        </w:tc>
      </w:tr>
      <w:tr w:rsidR="0091454F" w:rsidTr="0045558C">
        <w:trPr>
          <w:trHeight w:val="477"/>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asciiTheme="minorEastAsia" w:hAnsiTheme="minorEastAsia" w:cstheme="minorEastAsia"/>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采（古）空区积水≥</w:t>
            </w:r>
            <w:r>
              <w:rPr>
                <w:rFonts w:cs="宋体" w:hint="eastAsia"/>
                <w:color w:val="000000"/>
                <w:kern w:val="0"/>
                <w:sz w:val="22"/>
                <w:szCs w:val="18"/>
              </w:rPr>
              <w:t>30</w:t>
            </w:r>
            <w:r>
              <w:rPr>
                <w:rFonts w:cs="宋体" w:hint="eastAsia"/>
                <w:color w:val="000000"/>
                <w:kern w:val="0"/>
                <w:sz w:val="22"/>
                <w:szCs w:val="18"/>
              </w:rPr>
              <w:t>万</w:t>
            </w:r>
            <w:r>
              <w:rPr>
                <w:rFonts w:cs="宋体" w:hint="eastAsia"/>
                <w:color w:val="000000"/>
                <w:kern w:val="0"/>
                <w:sz w:val="22"/>
                <w:szCs w:val="18"/>
              </w:rPr>
              <w:t>m</w:t>
            </w:r>
            <w:r>
              <w:rPr>
                <w:rFonts w:cs="宋体" w:hint="eastAsia"/>
                <w:color w:val="000000"/>
                <w:kern w:val="0"/>
                <w:sz w:val="22"/>
                <w:szCs w:val="18"/>
                <w:vertAlign w:val="superscript"/>
              </w:rPr>
              <w:t>3</w:t>
            </w:r>
            <w:r>
              <w:rPr>
                <w:rFonts w:cs="宋体" w:hint="eastAsia"/>
                <w:color w:val="000000"/>
                <w:kern w:val="0"/>
                <w:sz w:val="22"/>
                <w:szCs w:val="18"/>
              </w:rPr>
              <w:t>的矿井的水灾风险</w:t>
            </w:r>
          </w:p>
        </w:tc>
      </w:tr>
      <w:tr w:rsidR="0091454F" w:rsidTr="0045558C">
        <w:trPr>
          <w:trHeight w:val="739"/>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asciiTheme="minorEastAsia" w:hAnsiTheme="minorEastAsia" w:cstheme="minorEastAsia"/>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采空区积水</w:t>
            </w:r>
            <w:r>
              <w:rPr>
                <w:rFonts w:cs="宋体" w:hint="eastAsia"/>
                <w:color w:val="000000"/>
                <w:kern w:val="0"/>
                <w:sz w:val="22"/>
                <w:szCs w:val="18"/>
              </w:rPr>
              <w:t>&lt;20</w:t>
            </w:r>
            <w:r>
              <w:rPr>
                <w:rFonts w:cs="宋体" w:hint="eastAsia"/>
                <w:color w:val="000000"/>
                <w:kern w:val="0"/>
                <w:sz w:val="22"/>
                <w:szCs w:val="18"/>
              </w:rPr>
              <w:t>万</w:t>
            </w:r>
            <w:r>
              <w:rPr>
                <w:rFonts w:cs="宋体" w:hint="eastAsia"/>
                <w:color w:val="000000"/>
                <w:kern w:val="0"/>
                <w:sz w:val="22"/>
                <w:szCs w:val="18"/>
              </w:rPr>
              <w:t>m</w:t>
            </w:r>
            <w:r>
              <w:rPr>
                <w:rFonts w:cs="宋体" w:hint="eastAsia"/>
                <w:color w:val="000000"/>
                <w:kern w:val="0"/>
                <w:sz w:val="22"/>
                <w:szCs w:val="18"/>
                <w:vertAlign w:val="superscript"/>
              </w:rPr>
              <w:t>3</w:t>
            </w:r>
            <w:r>
              <w:rPr>
                <w:rFonts w:cs="宋体" w:hint="eastAsia"/>
                <w:color w:val="000000"/>
                <w:kern w:val="0"/>
                <w:sz w:val="22"/>
                <w:szCs w:val="18"/>
              </w:rPr>
              <w:t>,</w:t>
            </w:r>
            <w:r>
              <w:rPr>
                <w:rFonts w:cs="宋体" w:hint="eastAsia"/>
                <w:color w:val="000000"/>
                <w:kern w:val="0"/>
                <w:sz w:val="22"/>
                <w:szCs w:val="18"/>
              </w:rPr>
              <w:t>但开采煤层上距采（古）空区间距</w:t>
            </w:r>
            <w:r>
              <w:rPr>
                <w:rFonts w:cs="宋体" w:hint="eastAsia"/>
                <w:color w:val="000000"/>
                <w:kern w:val="0"/>
                <w:sz w:val="22"/>
                <w:szCs w:val="18"/>
              </w:rPr>
              <w:t>&lt;15</w:t>
            </w:r>
            <w:r>
              <w:rPr>
                <w:rFonts w:cs="宋体" w:hint="eastAsia"/>
                <w:color w:val="000000"/>
                <w:kern w:val="0"/>
                <w:sz w:val="22"/>
                <w:szCs w:val="18"/>
              </w:rPr>
              <w:t>倍采高的矿井的水灾风险</w:t>
            </w:r>
          </w:p>
        </w:tc>
      </w:tr>
      <w:tr w:rsidR="0091454F" w:rsidTr="0045558C">
        <w:trPr>
          <w:trHeight w:val="804"/>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asciiTheme="minorEastAsia" w:hAnsiTheme="minorEastAsia" w:cstheme="minorEastAsia"/>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开采区域地表存在河流、湖泊等水体，且开采煤层上距地表水体间距</w:t>
            </w:r>
            <w:r>
              <w:rPr>
                <w:rFonts w:cs="宋体" w:hint="eastAsia"/>
                <w:color w:val="000000"/>
                <w:kern w:val="0"/>
                <w:sz w:val="22"/>
                <w:szCs w:val="18"/>
              </w:rPr>
              <w:t>&lt;15</w:t>
            </w:r>
            <w:r>
              <w:rPr>
                <w:rFonts w:cs="宋体" w:hint="eastAsia"/>
                <w:color w:val="000000"/>
                <w:kern w:val="0"/>
                <w:sz w:val="22"/>
                <w:szCs w:val="18"/>
              </w:rPr>
              <w:t>倍采高的矿井的水灾风险</w:t>
            </w:r>
          </w:p>
        </w:tc>
      </w:tr>
      <w:tr w:rsidR="0091454F" w:rsidTr="0045558C">
        <w:trPr>
          <w:trHeight w:val="754"/>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asciiTheme="minorEastAsia" w:hAnsiTheme="minorEastAsia" w:cstheme="minorEastAsia"/>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同一煤层中存在采空区积水标高高于开采煤层底板标高的矿井的水灾风险</w:t>
            </w:r>
          </w:p>
        </w:tc>
      </w:tr>
      <w:tr w:rsidR="0091454F" w:rsidTr="0045558C">
        <w:trPr>
          <w:trHeight w:val="739"/>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asciiTheme="minorEastAsia" w:hAnsiTheme="minorEastAsia" w:cstheme="minorEastAsia"/>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井筒标高低于</w:t>
            </w:r>
            <w:r>
              <w:rPr>
                <w:rFonts w:cs="宋体" w:hint="eastAsia"/>
                <w:color w:val="000000"/>
                <w:kern w:val="0"/>
                <w:sz w:val="22"/>
                <w:szCs w:val="18"/>
              </w:rPr>
              <w:t>100</w:t>
            </w:r>
            <w:r>
              <w:rPr>
                <w:rFonts w:cs="宋体" w:hint="eastAsia"/>
                <w:color w:val="000000"/>
                <w:kern w:val="0"/>
                <w:sz w:val="22"/>
                <w:szCs w:val="18"/>
              </w:rPr>
              <w:t>年一遇洪水位（含工业场地上游水库溃坝后洪水位）标高的矿井或露天矿的水灾风险</w:t>
            </w:r>
          </w:p>
        </w:tc>
      </w:tr>
      <w:tr w:rsidR="0091454F" w:rsidTr="0045558C">
        <w:trPr>
          <w:trHeight w:val="1191"/>
          <w:jc w:val="center"/>
        </w:trPr>
        <w:tc>
          <w:tcPr>
            <w:tcW w:w="1080" w:type="dxa"/>
            <w:shd w:val="clear" w:color="auto" w:fill="auto"/>
            <w:vAlign w:val="center"/>
          </w:tcPr>
          <w:p w:rsidR="0091454F" w:rsidRDefault="0091454F" w:rsidP="0045558C">
            <w:pPr>
              <w:widowControl/>
              <w:jc w:val="center"/>
              <w:rPr>
                <w:rFonts w:asciiTheme="minorEastAsia" w:hAnsiTheme="minorEastAsia" w:cstheme="minorEastAsia"/>
                <w:color w:val="000000"/>
                <w:kern w:val="0"/>
                <w:sz w:val="22"/>
                <w:szCs w:val="18"/>
              </w:rPr>
            </w:pPr>
            <w:r>
              <w:rPr>
                <w:rFonts w:asciiTheme="minorEastAsia" w:hAnsiTheme="minorEastAsia" w:cstheme="minorEastAsia" w:hint="eastAsia"/>
                <w:color w:val="000000"/>
                <w:kern w:val="0"/>
                <w:sz w:val="22"/>
                <w:szCs w:val="18"/>
              </w:rPr>
              <w:t>5</w:t>
            </w:r>
          </w:p>
        </w:tc>
        <w:tc>
          <w:tcPr>
            <w:tcW w:w="1480" w:type="dxa"/>
            <w:shd w:val="clear" w:color="auto" w:fill="auto"/>
            <w:vAlign w:val="center"/>
          </w:tcPr>
          <w:p w:rsidR="0091454F" w:rsidRDefault="0091454F" w:rsidP="0045558C">
            <w:pPr>
              <w:widowControl/>
              <w:jc w:val="center"/>
              <w:rPr>
                <w:rFonts w:cs="宋体"/>
                <w:color w:val="000000"/>
                <w:kern w:val="0"/>
                <w:sz w:val="22"/>
                <w:szCs w:val="18"/>
              </w:rPr>
            </w:pPr>
            <w:r>
              <w:rPr>
                <w:rFonts w:cs="宋体" w:hint="eastAsia"/>
                <w:color w:val="000000"/>
                <w:kern w:val="0"/>
                <w:sz w:val="22"/>
                <w:szCs w:val="18"/>
              </w:rPr>
              <w:t>冲击地压</w:t>
            </w: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有冲击地压煤层（经鉴定煤层</w:t>
            </w:r>
            <w:r>
              <w:rPr>
                <w:rFonts w:cs="宋体"/>
                <w:color w:val="000000"/>
                <w:kern w:val="0"/>
                <w:sz w:val="22"/>
                <w:szCs w:val="18"/>
              </w:rPr>
              <w:t>或者其顶底板岩层具有冲击倾向性且评价具有冲击危险性</w:t>
            </w:r>
            <w:r>
              <w:rPr>
                <w:rFonts w:cs="宋体" w:hint="eastAsia"/>
                <w:color w:val="000000"/>
                <w:kern w:val="0"/>
                <w:sz w:val="22"/>
                <w:szCs w:val="18"/>
              </w:rPr>
              <w:t>的煤层）的矿井的</w:t>
            </w:r>
            <w:r>
              <w:rPr>
                <w:rFonts w:cs="宋体"/>
                <w:color w:val="000000"/>
                <w:kern w:val="0"/>
                <w:sz w:val="22"/>
                <w:szCs w:val="18"/>
              </w:rPr>
              <w:t>冲击地压</w:t>
            </w:r>
            <w:r>
              <w:rPr>
                <w:rFonts w:cs="宋体" w:hint="eastAsia"/>
                <w:color w:val="000000"/>
                <w:kern w:val="0"/>
                <w:sz w:val="22"/>
                <w:szCs w:val="18"/>
              </w:rPr>
              <w:t>风险</w:t>
            </w:r>
            <w:r>
              <w:rPr>
                <w:rFonts w:cs="宋体"/>
                <w:color w:val="000000"/>
                <w:kern w:val="0"/>
                <w:sz w:val="22"/>
                <w:szCs w:val="18"/>
              </w:rPr>
              <w:t>。</w:t>
            </w:r>
          </w:p>
        </w:tc>
      </w:tr>
      <w:tr w:rsidR="0091454F" w:rsidTr="0045558C">
        <w:trPr>
          <w:trHeight w:val="570"/>
          <w:jc w:val="center"/>
        </w:trPr>
        <w:tc>
          <w:tcPr>
            <w:tcW w:w="1080" w:type="dxa"/>
            <w:vMerge w:val="restart"/>
            <w:shd w:val="clear" w:color="auto" w:fill="auto"/>
            <w:vAlign w:val="center"/>
          </w:tcPr>
          <w:p w:rsidR="0091454F" w:rsidRDefault="0091454F" w:rsidP="0045558C">
            <w:pPr>
              <w:widowControl/>
              <w:jc w:val="center"/>
              <w:rPr>
                <w:rFonts w:asciiTheme="minorEastAsia" w:hAnsiTheme="minorEastAsia" w:cstheme="minorEastAsia"/>
                <w:color w:val="000000"/>
                <w:kern w:val="0"/>
                <w:sz w:val="22"/>
                <w:szCs w:val="18"/>
              </w:rPr>
            </w:pPr>
            <w:r>
              <w:rPr>
                <w:rFonts w:asciiTheme="minorEastAsia" w:hAnsiTheme="minorEastAsia" w:cstheme="minorEastAsia" w:hint="eastAsia"/>
                <w:color w:val="000000"/>
                <w:kern w:val="0"/>
                <w:sz w:val="22"/>
                <w:szCs w:val="18"/>
              </w:rPr>
              <w:t>6</w:t>
            </w:r>
          </w:p>
        </w:tc>
        <w:tc>
          <w:tcPr>
            <w:tcW w:w="1480" w:type="dxa"/>
            <w:vMerge w:val="restart"/>
            <w:shd w:val="clear" w:color="auto" w:fill="auto"/>
            <w:vAlign w:val="center"/>
          </w:tcPr>
          <w:p w:rsidR="0091454F" w:rsidRDefault="0091454F" w:rsidP="0045558C">
            <w:pPr>
              <w:widowControl/>
              <w:jc w:val="center"/>
              <w:rPr>
                <w:rFonts w:cs="宋体"/>
                <w:color w:val="000000"/>
                <w:kern w:val="0"/>
                <w:sz w:val="22"/>
                <w:szCs w:val="18"/>
              </w:rPr>
            </w:pPr>
            <w:r>
              <w:rPr>
                <w:rFonts w:cs="宋体" w:hint="eastAsia"/>
                <w:color w:val="000000"/>
                <w:kern w:val="0"/>
                <w:sz w:val="22"/>
                <w:szCs w:val="18"/>
              </w:rPr>
              <w:t>运输</w:t>
            </w: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立井提升未使用标准罐笼升降人员的矿井的提升风险</w:t>
            </w:r>
          </w:p>
        </w:tc>
      </w:tr>
      <w:tr w:rsidR="0091454F" w:rsidTr="0045558C">
        <w:trPr>
          <w:trHeight w:val="949"/>
          <w:jc w:val="center"/>
        </w:trPr>
        <w:tc>
          <w:tcPr>
            <w:tcW w:w="10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1480" w:type="dxa"/>
            <w:vMerge/>
            <w:shd w:val="clear" w:color="auto" w:fill="auto"/>
            <w:vAlign w:val="center"/>
          </w:tcPr>
          <w:p w:rsidR="0091454F" w:rsidRDefault="0091454F" w:rsidP="0045558C">
            <w:pPr>
              <w:widowControl/>
              <w:numPr>
                <w:ilvl w:val="0"/>
                <w:numId w:val="2"/>
              </w:numPr>
              <w:ind w:left="0" w:firstLine="0"/>
              <w:jc w:val="center"/>
              <w:rPr>
                <w:rFonts w:cs="宋体"/>
                <w:color w:val="000000"/>
                <w:kern w:val="0"/>
                <w:sz w:val="22"/>
                <w:szCs w:val="18"/>
              </w:rPr>
            </w:pPr>
          </w:p>
        </w:tc>
        <w:tc>
          <w:tcPr>
            <w:tcW w:w="5799" w:type="dxa"/>
            <w:shd w:val="clear" w:color="auto" w:fill="auto"/>
            <w:vAlign w:val="center"/>
          </w:tcPr>
          <w:p w:rsidR="0091454F" w:rsidRDefault="0091454F" w:rsidP="0045558C">
            <w:pPr>
              <w:widowControl/>
              <w:rPr>
                <w:rFonts w:cs="宋体"/>
                <w:color w:val="000000"/>
                <w:kern w:val="0"/>
                <w:sz w:val="22"/>
                <w:szCs w:val="18"/>
              </w:rPr>
            </w:pPr>
            <w:r>
              <w:rPr>
                <w:rFonts w:cs="宋体" w:hint="eastAsia"/>
                <w:color w:val="000000"/>
                <w:kern w:val="0"/>
                <w:sz w:val="22"/>
                <w:szCs w:val="18"/>
              </w:rPr>
              <w:t>开拓巷道采用电机车运输且煤层有煤尘爆炸性危险矿井的运输风险</w:t>
            </w:r>
          </w:p>
        </w:tc>
      </w:tr>
    </w:tbl>
    <w:p w:rsidR="00512C11" w:rsidRPr="0091454F" w:rsidRDefault="00512C11"/>
    <w:sectPr w:rsidR="00512C11" w:rsidRPr="009145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68" w:rsidRDefault="0091454F">
    <w:pPr>
      <w:pStyle w:val="a3"/>
      <w:jc w:val="center"/>
    </w:pPr>
    <w:r>
      <w:rPr>
        <w:noProof/>
      </w:rPr>
      <mc:AlternateContent>
        <mc:Choice Requires="wps">
          <w:drawing>
            <wp:anchor distT="0" distB="0" distL="114300" distR="114300" simplePos="0" relativeHeight="251659264" behindDoc="0" locked="0" layoutInCell="1" allowOverlap="1" wp14:anchorId="6B66E1E1" wp14:editId="64F46368">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w:t>
                          </w:r>
                          <w:r>
                            <w:rPr>
                              <w:rFonts w:asciiTheme="majorEastAsia" w:eastAsiaTheme="majorEastAsia" w:hAnsiTheme="majorEastAsia" w:cstheme="majorEastAsia"/>
                              <w:noProof/>
                              <w:sz w:val="28"/>
                              <w:szCs w:val="28"/>
                            </w:rPr>
                            <w:t xml:space="preserve"> 6 -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w:t>
                    </w:r>
                    <w:r>
                      <w:rPr>
                        <w:rFonts w:asciiTheme="majorEastAsia" w:eastAsiaTheme="majorEastAsia" w:hAnsiTheme="majorEastAsia" w:cstheme="majorEastAsia"/>
                        <w:noProof/>
                        <w:sz w:val="28"/>
                        <w:szCs w:val="28"/>
                      </w:rPr>
                      <w:t xml:space="preserve"> 6 -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p w:rsidR="001B3A68" w:rsidRDefault="0091454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68" w:rsidRDefault="0091454F">
    <w:pPr>
      <w:pStyle w:val="a3"/>
      <w:jc w:val="center"/>
    </w:pPr>
    <w:r>
      <w:rPr>
        <w:noProof/>
      </w:rPr>
      <mc:AlternateContent>
        <mc:Choice Requires="wps">
          <w:drawing>
            <wp:anchor distT="0" distB="0" distL="114300" distR="114300" simplePos="0" relativeHeight="251660288" behindDoc="0" locked="0" layoutInCell="1" allowOverlap="1" wp14:anchorId="3B59E28B" wp14:editId="0254D454">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w:t>
                          </w:r>
                          <w:r>
                            <w:rPr>
                              <w:rFonts w:asciiTheme="majorEastAsia" w:eastAsiaTheme="majorEastAsia" w:hAnsiTheme="majorEastAsia" w:cstheme="majorEastAsia"/>
                              <w:noProof/>
                              <w:sz w:val="28"/>
                              <w:szCs w:val="28"/>
                            </w:rPr>
                            <w:t xml:space="preserve"> 27 -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w:t>
                    </w:r>
                    <w:r>
                      <w:rPr>
                        <w:rFonts w:asciiTheme="majorEastAsia" w:eastAsiaTheme="majorEastAsia" w:hAnsiTheme="majorEastAsia" w:cstheme="majorEastAsia"/>
                        <w:noProof/>
                        <w:sz w:val="28"/>
                        <w:szCs w:val="28"/>
                      </w:rPr>
                      <w:t xml:space="preserve"> 27 -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p w:rsidR="001B3A68" w:rsidRDefault="0091454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68" w:rsidRDefault="0091454F">
    <w:pPr>
      <w:pStyle w:val="a3"/>
      <w:jc w:val="center"/>
    </w:pPr>
    <w:r>
      <w:rPr>
        <w:noProof/>
      </w:rPr>
      <mc:AlternateContent>
        <mc:Choice Requires="wps">
          <w:drawing>
            <wp:anchor distT="0" distB="0" distL="114300" distR="114300" simplePos="0" relativeHeight="251661312" behindDoc="0" locked="0" layoutInCell="1" allowOverlap="1" wp14:anchorId="4D46CDDF" wp14:editId="3054C77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w:t>
                          </w:r>
                          <w:r>
                            <w:rPr>
                              <w:rFonts w:asciiTheme="majorEastAsia" w:eastAsiaTheme="majorEastAsia" w:hAnsiTheme="majorEastAsia" w:cstheme="majorEastAsia"/>
                              <w:noProof/>
                              <w:sz w:val="28"/>
                              <w:szCs w:val="28"/>
                            </w:rPr>
                            <w:t xml:space="preserve"> 34 -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w:t>
                    </w:r>
                    <w:r>
                      <w:rPr>
                        <w:rFonts w:asciiTheme="majorEastAsia" w:eastAsiaTheme="majorEastAsia" w:hAnsiTheme="majorEastAsia" w:cstheme="majorEastAsia"/>
                        <w:noProof/>
                        <w:sz w:val="28"/>
                        <w:szCs w:val="28"/>
                      </w:rPr>
                      <w:t xml:space="preserve"> 34 -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p w:rsidR="001B3A68" w:rsidRDefault="0091454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68" w:rsidRDefault="0091454F">
    <w:pPr>
      <w:pStyle w:val="a3"/>
      <w:jc w:val="center"/>
    </w:pPr>
    <w:r>
      <w:rPr>
        <w:noProof/>
      </w:rPr>
      <mc:AlternateContent>
        <mc:Choice Requires="wps">
          <w:drawing>
            <wp:anchor distT="0" distB="0" distL="114300" distR="114300" simplePos="0" relativeHeight="251662336" behindDoc="0" locked="0" layoutInCell="1" allowOverlap="1" wp14:anchorId="22FCC64F" wp14:editId="56507C85">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37</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1B3A68" w:rsidRDefault="0091454F">
                    <w:pPr>
                      <w:pStyle w:val="a3"/>
                      <w:jc w:val="cente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PAGE   \* MERGEFORMAT</w:instrText>
                    </w:r>
                    <w:r>
                      <w:rPr>
                        <w:rFonts w:asciiTheme="majorEastAsia" w:eastAsiaTheme="majorEastAsia" w:hAnsiTheme="majorEastAsia" w:cstheme="majorEastAsia" w:hint="eastAsia"/>
                        <w:sz w:val="28"/>
                        <w:szCs w:val="28"/>
                      </w:rPr>
                      <w:fldChar w:fldCharType="separate"/>
                    </w:r>
                    <w:r w:rsidRPr="0091454F">
                      <w:rPr>
                        <w:rFonts w:asciiTheme="majorEastAsia" w:eastAsiaTheme="majorEastAsia" w:hAnsiTheme="majorEastAsia" w:cstheme="majorEastAsia"/>
                        <w:noProof/>
                        <w:sz w:val="28"/>
                        <w:szCs w:val="28"/>
                        <w:lang w:val="zh-CN"/>
                      </w:rPr>
                      <w:t>37</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p w:rsidR="001B3A68" w:rsidRDefault="0091454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
    <w:nsid w:val="1004257F"/>
    <w:multiLevelType w:val="multilevel"/>
    <w:tmpl w:val="1004257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4F"/>
    <w:rsid w:val="00512C11"/>
    <w:rsid w:val="0091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5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1454F"/>
    <w:pPr>
      <w:tabs>
        <w:tab w:val="center" w:pos="4153"/>
        <w:tab w:val="right" w:pos="8306"/>
      </w:tabs>
      <w:snapToGrid w:val="0"/>
      <w:jc w:val="left"/>
    </w:pPr>
    <w:rPr>
      <w:sz w:val="18"/>
      <w:szCs w:val="18"/>
    </w:rPr>
  </w:style>
  <w:style w:type="character" w:customStyle="1" w:styleId="Char">
    <w:name w:val="页脚 Char"/>
    <w:basedOn w:val="a0"/>
    <w:link w:val="a3"/>
    <w:uiPriority w:val="99"/>
    <w:rsid w:val="0091454F"/>
    <w:rPr>
      <w:rFonts w:asciiTheme="minorHAnsi" w:eastAsiaTheme="minorEastAsia" w:hAnsiTheme="minorHAnsi" w:cstheme="minorBidi"/>
      <w:kern w:val="2"/>
      <w:sz w:val="18"/>
      <w:szCs w:val="18"/>
    </w:rPr>
  </w:style>
  <w:style w:type="paragraph" w:styleId="a4">
    <w:name w:val="header"/>
    <w:basedOn w:val="a"/>
    <w:link w:val="Char0"/>
    <w:rsid w:val="009145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91454F"/>
    <w:rPr>
      <w:rFonts w:asciiTheme="minorHAnsi" w:eastAsiaTheme="minorEastAsia" w:hAnsiTheme="minorHAnsi" w:cstheme="minorBidi"/>
      <w:kern w:val="2"/>
      <w:sz w:val="18"/>
      <w:szCs w:val="22"/>
    </w:rPr>
  </w:style>
  <w:style w:type="paragraph" w:styleId="1">
    <w:name w:val="toc 1"/>
    <w:basedOn w:val="a"/>
    <w:next w:val="a"/>
    <w:uiPriority w:val="39"/>
    <w:unhideWhenUsed/>
    <w:qFormat/>
    <w:rsid w:val="0091454F"/>
    <w:pPr>
      <w:tabs>
        <w:tab w:val="right" w:leader="dot" w:pos="8296"/>
      </w:tabs>
      <w:spacing w:line="400" w:lineRule="exact"/>
    </w:pPr>
    <w:rPr>
      <w:rFonts w:ascii="宋体" w:eastAsia="宋体" w:hAnsi="宋体"/>
      <w:b/>
      <w:bCs/>
      <w:sz w:val="24"/>
      <w:szCs w:val="24"/>
    </w:rPr>
  </w:style>
  <w:style w:type="paragraph" w:styleId="2">
    <w:name w:val="toc 2"/>
    <w:basedOn w:val="a"/>
    <w:next w:val="a"/>
    <w:uiPriority w:val="39"/>
    <w:unhideWhenUsed/>
    <w:qFormat/>
    <w:rsid w:val="0091454F"/>
    <w:pPr>
      <w:ind w:leftChars="200" w:left="420"/>
    </w:pPr>
  </w:style>
  <w:style w:type="character" w:styleId="a5">
    <w:name w:val="Hyperlink"/>
    <w:uiPriority w:val="99"/>
    <w:unhideWhenUsed/>
    <w:qFormat/>
    <w:rsid w:val="0091454F"/>
    <w:rPr>
      <w:color w:val="0563C1"/>
      <w:u w:val="single"/>
    </w:rPr>
  </w:style>
  <w:style w:type="paragraph" w:customStyle="1" w:styleId="10">
    <w:name w:val="列表段落1"/>
    <w:basedOn w:val="a"/>
    <w:uiPriority w:val="99"/>
    <w:qFormat/>
    <w:rsid w:val="0091454F"/>
    <w:pPr>
      <w:ind w:firstLineChars="200" w:firstLine="420"/>
    </w:pPr>
  </w:style>
  <w:style w:type="paragraph" w:customStyle="1" w:styleId="21">
    <w:name w:val="正文首行缩进 21"/>
    <w:basedOn w:val="11"/>
    <w:next w:val="12"/>
    <w:qFormat/>
    <w:rsid w:val="0091454F"/>
    <w:pPr>
      <w:ind w:firstLineChars="200" w:firstLine="200"/>
    </w:pPr>
  </w:style>
  <w:style w:type="paragraph" w:customStyle="1" w:styleId="11">
    <w:name w:val="正文文本缩进1"/>
    <w:basedOn w:val="a"/>
    <w:qFormat/>
    <w:rsid w:val="0091454F"/>
    <w:pPr>
      <w:ind w:leftChars="200" w:left="200"/>
    </w:pPr>
  </w:style>
  <w:style w:type="paragraph" w:customStyle="1" w:styleId="12">
    <w:name w:val="普通(网站)1"/>
    <w:basedOn w:val="a"/>
    <w:next w:val="a"/>
    <w:qFormat/>
    <w:rsid w:val="0091454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rsid w:val="0091454F"/>
    <w:rPr>
      <w:sz w:val="18"/>
      <w:szCs w:val="18"/>
    </w:rPr>
  </w:style>
  <w:style w:type="character" w:customStyle="1" w:styleId="Char1">
    <w:name w:val="批注框文本 Char"/>
    <w:basedOn w:val="a0"/>
    <w:link w:val="a6"/>
    <w:rsid w:val="0091454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5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1454F"/>
    <w:pPr>
      <w:tabs>
        <w:tab w:val="center" w:pos="4153"/>
        <w:tab w:val="right" w:pos="8306"/>
      </w:tabs>
      <w:snapToGrid w:val="0"/>
      <w:jc w:val="left"/>
    </w:pPr>
    <w:rPr>
      <w:sz w:val="18"/>
      <w:szCs w:val="18"/>
    </w:rPr>
  </w:style>
  <w:style w:type="character" w:customStyle="1" w:styleId="Char">
    <w:name w:val="页脚 Char"/>
    <w:basedOn w:val="a0"/>
    <w:link w:val="a3"/>
    <w:uiPriority w:val="99"/>
    <w:rsid w:val="0091454F"/>
    <w:rPr>
      <w:rFonts w:asciiTheme="minorHAnsi" w:eastAsiaTheme="minorEastAsia" w:hAnsiTheme="minorHAnsi" w:cstheme="minorBidi"/>
      <w:kern w:val="2"/>
      <w:sz w:val="18"/>
      <w:szCs w:val="18"/>
    </w:rPr>
  </w:style>
  <w:style w:type="paragraph" w:styleId="a4">
    <w:name w:val="header"/>
    <w:basedOn w:val="a"/>
    <w:link w:val="Char0"/>
    <w:rsid w:val="009145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91454F"/>
    <w:rPr>
      <w:rFonts w:asciiTheme="minorHAnsi" w:eastAsiaTheme="minorEastAsia" w:hAnsiTheme="minorHAnsi" w:cstheme="minorBidi"/>
      <w:kern w:val="2"/>
      <w:sz w:val="18"/>
      <w:szCs w:val="22"/>
    </w:rPr>
  </w:style>
  <w:style w:type="paragraph" w:styleId="1">
    <w:name w:val="toc 1"/>
    <w:basedOn w:val="a"/>
    <w:next w:val="a"/>
    <w:uiPriority w:val="39"/>
    <w:unhideWhenUsed/>
    <w:qFormat/>
    <w:rsid w:val="0091454F"/>
    <w:pPr>
      <w:tabs>
        <w:tab w:val="right" w:leader="dot" w:pos="8296"/>
      </w:tabs>
      <w:spacing w:line="400" w:lineRule="exact"/>
    </w:pPr>
    <w:rPr>
      <w:rFonts w:ascii="宋体" w:eastAsia="宋体" w:hAnsi="宋体"/>
      <w:b/>
      <w:bCs/>
      <w:sz w:val="24"/>
      <w:szCs w:val="24"/>
    </w:rPr>
  </w:style>
  <w:style w:type="paragraph" w:styleId="2">
    <w:name w:val="toc 2"/>
    <w:basedOn w:val="a"/>
    <w:next w:val="a"/>
    <w:uiPriority w:val="39"/>
    <w:unhideWhenUsed/>
    <w:qFormat/>
    <w:rsid w:val="0091454F"/>
    <w:pPr>
      <w:ind w:leftChars="200" w:left="420"/>
    </w:pPr>
  </w:style>
  <w:style w:type="character" w:styleId="a5">
    <w:name w:val="Hyperlink"/>
    <w:uiPriority w:val="99"/>
    <w:unhideWhenUsed/>
    <w:qFormat/>
    <w:rsid w:val="0091454F"/>
    <w:rPr>
      <w:color w:val="0563C1"/>
      <w:u w:val="single"/>
    </w:rPr>
  </w:style>
  <w:style w:type="paragraph" w:customStyle="1" w:styleId="10">
    <w:name w:val="列表段落1"/>
    <w:basedOn w:val="a"/>
    <w:uiPriority w:val="99"/>
    <w:qFormat/>
    <w:rsid w:val="0091454F"/>
    <w:pPr>
      <w:ind w:firstLineChars="200" w:firstLine="420"/>
    </w:pPr>
  </w:style>
  <w:style w:type="paragraph" w:customStyle="1" w:styleId="21">
    <w:name w:val="正文首行缩进 21"/>
    <w:basedOn w:val="11"/>
    <w:next w:val="12"/>
    <w:qFormat/>
    <w:rsid w:val="0091454F"/>
    <w:pPr>
      <w:ind w:firstLineChars="200" w:firstLine="200"/>
    </w:pPr>
  </w:style>
  <w:style w:type="paragraph" w:customStyle="1" w:styleId="11">
    <w:name w:val="正文文本缩进1"/>
    <w:basedOn w:val="a"/>
    <w:qFormat/>
    <w:rsid w:val="0091454F"/>
    <w:pPr>
      <w:ind w:leftChars="200" w:left="200"/>
    </w:pPr>
  </w:style>
  <w:style w:type="paragraph" w:customStyle="1" w:styleId="12">
    <w:name w:val="普通(网站)1"/>
    <w:basedOn w:val="a"/>
    <w:next w:val="a"/>
    <w:qFormat/>
    <w:rsid w:val="0091454F"/>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rsid w:val="0091454F"/>
    <w:rPr>
      <w:sz w:val="18"/>
      <w:szCs w:val="18"/>
    </w:rPr>
  </w:style>
  <w:style w:type="character" w:customStyle="1" w:styleId="Char1">
    <w:name w:val="批注框文本 Char"/>
    <w:basedOn w:val="a0"/>
    <w:link w:val="a6"/>
    <w:rsid w:val="0091454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2168</Words>
  <Characters>12362</Characters>
  <Application>Microsoft Office Word</Application>
  <DocSecurity>0</DocSecurity>
  <Lines>103</Lines>
  <Paragraphs>29</Paragraphs>
  <ScaleCrop>false</ScaleCrop>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xjzx04</dc:creator>
  <cp:lastModifiedBy>xjzx04</cp:lastModifiedBy>
  <cp:revision>1</cp:revision>
  <dcterms:created xsi:type="dcterms:W3CDTF">2020-03-30T01:12:00Z</dcterms:created>
  <dcterms:modified xsi:type="dcterms:W3CDTF">2020-03-30T01:13:00Z</dcterms:modified>
</cp:coreProperties>
</file>