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粗黑宋简体" w:hAnsi="方正粗黑宋简体" w:eastAsia="方正粗黑宋简体" w:cs="方正粗黑宋简体"/>
          <w:b/>
          <w:bCs/>
          <w:sz w:val="32"/>
          <w:szCs w:val="32"/>
        </w:rPr>
      </w:pPr>
      <w:r>
        <w:rPr>
          <w:rFonts w:hint="eastAsia" w:ascii="方正粗黑宋简体" w:hAnsi="方正粗黑宋简体" w:eastAsia="方正粗黑宋简体" w:cs="方正粗黑宋简体"/>
          <w:b/>
          <w:bCs/>
          <w:i w:val="0"/>
          <w:color w:val="000000"/>
          <w:kern w:val="0"/>
          <w:sz w:val="32"/>
          <w:szCs w:val="32"/>
          <w:u w:val="none"/>
          <w:lang w:val="en-US" w:eastAsia="zh-CN" w:bidi="ar"/>
        </w:rPr>
        <w:t>安全评价机构资质认可</w:t>
      </w:r>
    </w:p>
    <w:p>
      <w:pPr>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基本信息</w:t>
      </w:r>
      <w:bookmarkStart w:id="0" w:name="_GoBack"/>
      <w:bookmarkEnd w:id="0"/>
    </w:p>
    <w:tbl>
      <w:tblPr>
        <w:tblStyle w:val="5"/>
        <w:tblW w:w="72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5"/>
        <w:gridCol w:w="1136"/>
        <w:gridCol w:w="2338"/>
        <w:gridCol w:w="2571"/>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kern w:val="0"/>
                <w:sz w:val="15"/>
                <w:szCs w:val="15"/>
                <w:u w:val="none"/>
                <w:lang w:val="en-US" w:eastAsia="zh-CN" w:bidi="ar"/>
              </w:rPr>
              <w:t>序号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5"/>
                <w:szCs w:val="15"/>
                <w:u w:val="none"/>
                <w:lang w:val="en-US" w:eastAsia="zh-CN" w:bidi="ar"/>
              </w:rPr>
              <w:t>要素名称</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val="0"/>
                <w:i w:val="0"/>
                <w:iCs w:val="0"/>
                <w:color w:val="000000"/>
                <w:kern w:val="0"/>
                <w:sz w:val="15"/>
                <w:szCs w:val="15"/>
                <w:u w:val="none"/>
                <w:lang w:val="en-US" w:eastAsia="zh-CN" w:bidi="ar"/>
              </w:rPr>
            </w:pPr>
            <w:r>
              <w:rPr>
                <w:rFonts w:hint="eastAsia" w:ascii="宋体" w:hAnsi="宋体" w:eastAsia="宋体" w:cs="宋体"/>
                <w:b/>
                <w:bCs w:val="0"/>
                <w:i w:val="0"/>
                <w:iCs w:val="0"/>
                <w:color w:val="000000"/>
                <w:kern w:val="0"/>
                <w:sz w:val="15"/>
                <w:szCs w:val="15"/>
                <w:u w:val="none"/>
                <w:lang w:val="en-US" w:eastAsia="zh-CN" w:bidi="ar"/>
              </w:rPr>
              <w:t>要素内容</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val="0"/>
                <w:i w:val="0"/>
                <w:iCs w:val="0"/>
                <w:color w:val="000000"/>
                <w:kern w:val="0"/>
                <w:sz w:val="15"/>
                <w:szCs w:val="15"/>
                <w:u w:val="none"/>
                <w:lang w:val="en-US" w:eastAsia="zh-CN" w:bidi="ar"/>
              </w:rPr>
            </w:pPr>
            <w:r>
              <w:rPr>
                <w:rFonts w:hint="eastAsia" w:ascii="宋体" w:hAnsi="宋体" w:eastAsia="宋体" w:cs="宋体"/>
                <w:b/>
                <w:bCs w:val="0"/>
                <w:i w:val="0"/>
                <w:iCs w:val="0"/>
                <w:color w:val="000000"/>
                <w:kern w:val="0"/>
                <w:sz w:val="15"/>
                <w:szCs w:val="15"/>
                <w:u w:val="none"/>
                <w:lang w:val="en-US" w:eastAsia="zh-CN" w:bidi="ar"/>
              </w:rPr>
              <w:t>内容说明</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事项名称</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安全评价检测检验机构机构资质认可</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根据省政府部门权力清单填写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新调整</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子项名称</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安全评价机构资质认可</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有子项的填写子项</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事项编码</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000125031002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根据省政府部门权力清单填写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9"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事项类型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行政许可</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行政许可/行政征收/行政给付/行政确认/其他事项</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事项来源</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drawing>
                <wp:anchor distT="0" distB="0" distL="114300" distR="114300" simplePos="0" relativeHeight="284840960" behindDoc="0" locked="0" layoutInCell="1" allowOverlap="1">
                  <wp:simplePos x="0" y="0"/>
                  <wp:positionH relativeFrom="column">
                    <wp:posOffset>0</wp:posOffset>
                  </wp:positionH>
                  <wp:positionV relativeFrom="paragraph">
                    <wp:posOffset>247650</wp:posOffset>
                  </wp:positionV>
                  <wp:extent cx="2667000" cy="485140"/>
                  <wp:effectExtent l="0" t="0" r="0" b="0"/>
                  <wp:wrapNone/>
                  <wp:docPr id="65" name="Rectangle_1"/>
                  <wp:cNvGraphicFramePr/>
                  <a:graphic xmlns:a="http://schemas.openxmlformats.org/drawingml/2006/main">
                    <a:graphicData uri="http://schemas.openxmlformats.org/drawingml/2006/picture">
                      <pic:pic xmlns:pic="http://schemas.openxmlformats.org/drawingml/2006/picture">
                        <pic:nvPicPr>
                          <pic:cNvPr id="65" name="Rectangle_1"/>
                          <pic:cNvPicPr/>
                        </pic:nvPicPr>
                        <pic:blipFill>
                          <a:blip r:embed="rId5"/>
                          <a:stretch>
                            <a:fillRect/>
                          </a:stretch>
                        </pic:blipFill>
                        <pic:spPr>
                          <a:xfrm>
                            <a:off x="0" y="0"/>
                            <a:ext cx="2667000" cy="485140"/>
                          </a:xfrm>
                          <a:prstGeom prst="rect">
                            <a:avLst/>
                          </a:prstGeom>
                          <a:noFill/>
                          <a:ln>
                            <a:noFill/>
                          </a:ln>
                        </pic:spPr>
                      </pic:pic>
                    </a:graphicData>
                  </a:graphic>
                </wp:anchor>
              </w:drawing>
            </w:r>
            <w:r>
              <w:rPr>
                <w:rFonts w:hint="eastAsia" w:ascii="宋体" w:hAnsi="宋体" w:eastAsia="宋体" w:cs="宋体"/>
                <w:i w:val="0"/>
                <w:color w:val="000000"/>
                <w:kern w:val="0"/>
                <w:sz w:val="15"/>
                <w:szCs w:val="15"/>
                <w:u w:val="none"/>
                <w:lang w:val="en-US" w:eastAsia="zh-CN" w:bidi="ar"/>
              </w:rPr>
              <w:t>法定本级行使</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法定本级行使/下放本级行使/委托本级行使</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行使层级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（可多选）</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省级</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国家级、省级、市级、县级、乡级、村级</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实施机构</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山西省应急管理厅</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办理具体政务服务事项的机构名称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drawing>
                <wp:anchor distT="0" distB="0" distL="114300" distR="114300" simplePos="0" relativeHeight="284841984" behindDoc="0" locked="0" layoutInCell="1" allowOverlap="1">
                  <wp:simplePos x="0" y="0"/>
                  <wp:positionH relativeFrom="column">
                    <wp:posOffset>1000125</wp:posOffset>
                  </wp:positionH>
                  <wp:positionV relativeFrom="paragraph">
                    <wp:posOffset>9525</wp:posOffset>
                  </wp:positionV>
                  <wp:extent cx="2010410" cy="237490"/>
                  <wp:effectExtent l="0" t="0" r="0" b="0"/>
                  <wp:wrapNone/>
                  <wp:docPr id="66" name="Rectangle_2"/>
                  <wp:cNvGraphicFramePr/>
                  <a:graphic xmlns:a="http://schemas.openxmlformats.org/drawingml/2006/main">
                    <a:graphicData uri="http://schemas.openxmlformats.org/drawingml/2006/picture">
                      <pic:pic xmlns:pic="http://schemas.openxmlformats.org/drawingml/2006/picture">
                        <pic:nvPicPr>
                          <pic:cNvPr id="66" name="Rectangle_2"/>
                          <pic:cNvPicPr/>
                        </pic:nvPicPr>
                        <pic:blipFill>
                          <a:blip r:embed="rId6"/>
                          <a:stretch>
                            <a:fillRect/>
                          </a:stretch>
                        </pic:blipFill>
                        <pic:spPr>
                          <a:xfrm>
                            <a:off x="0" y="0"/>
                            <a:ext cx="2010410" cy="237490"/>
                          </a:xfrm>
                          <a:prstGeom prst="rect">
                            <a:avLst/>
                          </a:prstGeom>
                          <a:noFill/>
                          <a:ln>
                            <a:noFill/>
                          </a:ln>
                        </pic:spPr>
                      </pic:pic>
                    </a:graphicData>
                  </a:graphic>
                </wp:anchor>
              </w:drawing>
            </w:r>
            <w:r>
              <w:rPr>
                <w:rFonts w:hint="eastAsia" w:ascii="宋体" w:hAnsi="宋体" w:eastAsia="宋体" w:cs="宋体"/>
                <w:i w:val="0"/>
                <w:color w:val="000000"/>
                <w:kern w:val="0"/>
                <w:sz w:val="15"/>
                <w:szCs w:val="15"/>
                <w:u w:val="none"/>
                <w:lang w:val="en-US" w:eastAsia="zh-CN" w:bidi="ar"/>
              </w:rPr>
              <w:t>办件类型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承诺件</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承诺件/即办件/上报件/联报件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服务对象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法人</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自然人/法人（行政机关、事业单位、企业、其他组织等）</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7"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法定时限</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33个工作日</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某一政务服务事项法规条款明确的具体办结时限（工作日/自然日）</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承诺时限</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26个工作日</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对外承诺办结时限（工作日/自然日）</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时限依据</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《安全评价检测检验机构管理办法》（应急管理部令第1号、2019年5月1日施行）第十一条</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法律法规名称、对应条款描述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数量限制</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没有数量限制的填写无限制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收费方式</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不收费/窗口收费/已实现网上缴费/计划增加网上缴费方式</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收费标准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物价部门核定的标准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政府部门正式批文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结果名称</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安全评价机构资质证书</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由法规制定的规范命名</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结果样本</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安全评价机构资质证书正本、 安全评价机构资质证书副本</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证照、批文采用安全通用的文件格式，图片清晰美观，图片中涉及企业、个人信息须隐藏（作为附件）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受理条件及依据</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《安全评价检测检验机构管理办法》（应急管理部令第1号、2019年5月1日施行）第六条</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逐条填写受理条件及相关对应法律条文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是否在本级政务服务中心业务系统统一审批办理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使用大厅统一审批系统</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使用大厅统一审批系统/上级部门统建审批系统/本级自建审批系统/未实行网上审批办理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drawing>
                <wp:anchor distT="0" distB="0" distL="114300" distR="114300" simplePos="0" relativeHeight="284843008" behindDoc="0" locked="0" layoutInCell="1" allowOverlap="1">
                  <wp:simplePos x="0" y="0"/>
                  <wp:positionH relativeFrom="column">
                    <wp:posOffset>1000125</wp:posOffset>
                  </wp:positionH>
                  <wp:positionV relativeFrom="paragraph">
                    <wp:posOffset>18415</wp:posOffset>
                  </wp:positionV>
                  <wp:extent cx="2846070" cy="741680"/>
                  <wp:effectExtent l="0" t="0" r="0" b="0"/>
                  <wp:wrapNone/>
                  <wp:docPr id="67" name="Rectangle_3"/>
                  <wp:cNvGraphicFramePr/>
                  <a:graphic xmlns:a="http://schemas.openxmlformats.org/drawingml/2006/main">
                    <a:graphicData uri="http://schemas.openxmlformats.org/drawingml/2006/picture">
                      <pic:pic xmlns:pic="http://schemas.openxmlformats.org/drawingml/2006/picture">
                        <pic:nvPicPr>
                          <pic:cNvPr id="67" name="Rectangle_3"/>
                          <pic:cNvPicPr/>
                        </pic:nvPicPr>
                        <pic:blipFill>
                          <a:blip r:embed="rId7"/>
                          <a:stretch>
                            <a:fillRect/>
                          </a:stretch>
                        </pic:blipFill>
                        <pic:spPr>
                          <a:xfrm>
                            <a:off x="0" y="0"/>
                            <a:ext cx="2846070" cy="741680"/>
                          </a:xfrm>
                          <a:prstGeom prst="rect">
                            <a:avLst/>
                          </a:prstGeom>
                          <a:noFill/>
                          <a:ln>
                            <a:noFill/>
                          </a:ln>
                        </pic:spPr>
                      </pic:pic>
                    </a:graphicData>
                  </a:graphic>
                </wp:anchor>
              </w:drawing>
            </w:r>
            <w:r>
              <w:rPr>
                <w:rFonts w:hint="eastAsia" w:ascii="宋体" w:hAnsi="宋体" w:eastAsia="宋体" w:cs="宋体"/>
                <w:i w:val="0"/>
                <w:color w:val="000000"/>
                <w:kern w:val="0"/>
                <w:sz w:val="15"/>
                <w:szCs w:val="15"/>
                <w:u w:val="none"/>
                <w:lang w:val="en-US" w:eastAsia="zh-CN" w:bidi="ar"/>
              </w:rPr>
              <w:t>办理形式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（可多选）</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实体大厅窗口办理、网上申报、网上预约、网上预审、在线咨询、网上查询</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实体大厅窗口办理、网上预约、材料预审、网上申报、在线咨询、网上缴费、网上查询</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6"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承诺到现场窗口最多次数（不计邮递结果）</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0-1次</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无法承诺/1次/2次/3次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办理结果获取方式（可多选）</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窗口领取、邮递办理结果</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窗口领取、邮递办理结果、无需取件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通办范围</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全省</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全省/跨市/跨县（区）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物流快递</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顺丰、邮政</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是否支持办理结果邮递，如果支持填写物流快递合作商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联办机构</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同一事项有两个以上实施机构</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中介服务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法定涉及的中介服务，中介名称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1"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办理地点</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山西省政务服务中心A座一层15号（省应急管理厅）窗口</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具体承办单位所在地点</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办理时间</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周一至周五：上午9:00-12:00 下午:13:00-17:00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事项可办理的时间</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咨询服务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窗口咨询、电话咨询、电子邮件咨询、网上咨询</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窗口咨询、电话咨询、电子邮件咨询、网上咨询等可提供的咨询方式</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7"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交通指引 </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太原市小店区坞城南路50号，乘车路线（79路、836路、</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870路、877路经停，可在省政务中心（大吴村）公交站点上/下车）</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1"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监督投诉</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窗口投诉、电话投诉、网上投诉、电子邮件投诉、信函投诉等渠道（本项内容由政务服务中心统一填写，各厅局单位无需填写）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8"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行政复议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行政诉讼</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可申请行政复议或行政诉讼的部门名称、地点、联系方式等相关信息（本项内容由政务服务中心统一填写，各厅局单位无需填写）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bl>
    <w:p>
      <w:pPr>
        <w:spacing w:line="220" w:lineRule="atLeast"/>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设定依据</w:t>
      </w:r>
    </w:p>
    <w:tbl>
      <w:tblPr>
        <w:tblStyle w:val="5"/>
        <w:tblW w:w="7229" w:type="dxa"/>
        <w:jc w:val="center"/>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20"/>
        <w:gridCol w:w="465"/>
        <w:gridCol w:w="569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454" w:hRule="atLeast"/>
          <w:jc w:val="center"/>
        </w:trPr>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序号</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详细描述</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《中华人民共和国安全生产法》第六十九条</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2" w:hRule="atLeast"/>
          <w:jc w:val="center"/>
        </w:trPr>
        <w:tc>
          <w:tcPr>
            <w:tcW w:w="420" w:type="dxa"/>
            <w:vMerge w:val="continue"/>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第六十九条承担安全评价、认证、检测、检验的机构应当具备国家规定的资质条件，并对其作出的安全评价、认证、检测、检验的结果负责。</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25" w:hRule="atLeas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《安全评价检测检验机构管理办法》（应急管理部令第1号、2019年5月1日施行）第三条</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77" w:hRule="atLeast"/>
          <w:jc w:val="center"/>
        </w:trPr>
        <w:tc>
          <w:tcPr>
            <w:tcW w:w="420" w:type="dxa"/>
            <w:vMerge w:val="continue"/>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15"/>
                <w:szCs w:val="15"/>
                <w:u w:val="none"/>
                <w:lang w:val="en-US"/>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 </w:t>
            </w:r>
            <w:r>
              <w:rPr>
                <w:rFonts w:hint="eastAsia" w:asciiTheme="minorEastAsia" w:hAnsiTheme="minorEastAsia" w:eastAsiaTheme="minorEastAsia" w:cstheme="minorEastAsia"/>
                <w:i w:val="0"/>
                <w:color w:val="000000"/>
                <w:kern w:val="0"/>
                <w:sz w:val="15"/>
                <w:szCs w:val="15"/>
                <w:u w:val="none"/>
                <w:lang w:val="en-US" w:eastAsia="zh-CN" w:bidi="ar"/>
              </w:rPr>
              <w:t xml:space="preserve">   第三条 国务院应急管理部门负责指导全国安全评价检测检验机构管理工作，建立安全评价检测检验机构信息查询系统，完善安全评价、检测检验标准体系。</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  省级人民政府应急管理部门、煤矿安全生产监督管理部门（以下统称资质认可机关）按照各自的职责，分别负责安全评价检测检验机构资质认可和监督管理工作。</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  设区的市级人民政府、县级人民政府应急管理部门、煤矿安全生产监督管理部门按照各自的职责，对安全评价检测检验机构执业行为实施监督检查，并对发现的违法行为依法实施行政处罚。</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bl>
    <w:p>
      <w:pPr>
        <w:spacing w:line="220" w:lineRule="atLeast"/>
        <w:rPr>
          <w:rFonts w:hint="eastAsia"/>
        </w:rPr>
      </w:pPr>
    </w:p>
    <w:p>
      <w:pP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br w:type="page"/>
      </w:r>
    </w:p>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申报材料</w:t>
      </w:r>
    </w:p>
    <w:p>
      <w:pPr>
        <w:keepNext w:val="0"/>
        <w:keepLines w:val="0"/>
        <w:pageBreakBefore w:val="0"/>
        <w:widowControl/>
        <w:kinsoku/>
        <w:wordWrap/>
        <w:overflowPunct/>
        <w:topLinePunct w:val="0"/>
        <w:autoSpaceDE/>
        <w:autoSpaceDN/>
        <w:bidi w:val="0"/>
        <w:adjustRightInd w:val="0"/>
        <w:snapToGrid w:val="0"/>
        <w:spacing w:after="10" w:line="220" w:lineRule="atLeast"/>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安全评价机构资质认可</w:t>
      </w:r>
    </w:p>
    <w:tbl>
      <w:tblPr>
        <w:tblStyle w:val="5"/>
        <w:tblW w:w="7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89"/>
        <w:gridCol w:w="1107"/>
        <w:gridCol w:w="546"/>
        <w:gridCol w:w="477"/>
        <w:gridCol w:w="532"/>
        <w:gridCol w:w="2318"/>
        <w:gridCol w:w="733"/>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567" w:hRule="atLeast"/>
          <w:jc w:val="center"/>
        </w:trPr>
        <w:tc>
          <w:tcPr>
            <w:tcW w:w="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材料名称</w:t>
            </w:r>
          </w:p>
        </w:tc>
        <w:tc>
          <w:tcPr>
            <w:tcW w:w="5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原件/</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复印件</w:t>
            </w:r>
          </w:p>
        </w:tc>
        <w:tc>
          <w:tcPr>
            <w:tcW w:w="4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份数</w:t>
            </w:r>
          </w:p>
        </w:tc>
        <w:tc>
          <w:tcPr>
            <w:tcW w:w="5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材料</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类型</w:t>
            </w:r>
          </w:p>
        </w:tc>
        <w:tc>
          <w:tcPr>
            <w:tcW w:w="23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要求</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材料来源</w:t>
            </w:r>
          </w:p>
        </w:tc>
        <w:tc>
          <w:tcPr>
            <w:tcW w:w="11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法定依据及描述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2" w:hRule="atLeast"/>
          <w:jc w:val="center"/>
        </w:trPr>
        <w:tc>
          <w:tcPr>
            <w:tcW w:w="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申请材料目录 </w:t>
            </w:r>
          </w:p>
        </w:tc>
        <w:tc>
          <w:tcPr>
            <w:tcW w:w="5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4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5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2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填写提交申报材料清单</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112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《安全生产法》第六十条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《安全评价检测检验机构管理办法》（应急管理部令第1号、2019年5月1日施行）第三条、第六条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4" w:hRule="atLeast"/>
          <w:jc w:val="center"/>
        </w:trPr>
        <w:tc>
          <w:tcPr>
            <w:tcW w:w="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申请书</w:t>
            </w:r>
          </w:p>
        </w:tc>
        <w:tc>
          <w:tcPr>
            <w:tcW w:w="5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4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5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2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法定代表人亲笔签名并加盖单位盖章</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112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07" w:hRule="atLeast"/>
          <w:jc w:val="center"/>
        </w:trPr>
        <w:tc>
          <w:tcPr>
            <w:tcW w:w="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法人证明</w:t>
            </w:r>
          </w:p>
        </w:tc>
        <w:tc>
          <w:tcPr>
            <w:tcW w:w="5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5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2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独立法人资格。营业执照或事业单位法人证书</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市场监管部门</w:t>
            </w:r>
          </w:p>
        </w:tc>
        <w:tc>
          <w:tcPr>
            <w:tcW w:w="112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5" w:hRule="atLeast"/>
          <w:jc w:val="center"/>
        </w:trPr>
        <w:tc>
          <w:tcPr>
            <w:tcW w:w="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截止申请之日三年内无重大违法失信记录的查询证明或单位声明</w:t>
            </w:r>
          </w:p>
        </w:tc>
        <w:tc>
          <w:tcPr>
            <w:tcW w:w="5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4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5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2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法定代表人亲笔签名并加盖单位盖章。依据国家企业信用信息公示系统、全国信用信息平台等查询结果。</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112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00" w:hRule="atLeast"/>
          <w:jc w:val="center"/>
        </w:trPr>
        <w:tc>
          <w:tcPr>
            <w:tcW w:w="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法定代表人承诺书</w:t>
            </w:r>
          </w:p>
        </w:tc>
        <w:tc>
          <w:tcPr>
            <w:tcW w:w="5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4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5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2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填写《申请单位法定代表人承诺书》。法定代表人亲笔签名</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112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固定资产证明材料或书面承诺</w:t>
            </w:r>
          </w:p>
        </w:tc>
        <w:tc>
          <w:tcPr>
            <w:tcW w:w="5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4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5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2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固定资产不少于八百万元。提供具有法律效力的资产评估证明，或提供具有法定效力的书面承诺</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提交</w:t>
            </w:r>
          </w:p>
        </w:tc>
        <w:tc>
          <w:tcPr>
            <w:tcW w:w="112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53" w:hRule="atLeast"/>
          <w:jc w:val="center"/>
        </w:trPr>
        <w:tc>
          <w:tcPr>
            <w:tcW w:w="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7</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工作场所及档案室面积证明资料</w:t>
            </w:r>
          </w:p>
        </w:tc>
        <w:tc>
          <w:tcPr>
            <w:tcW w:w="5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5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2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工作场所建筑面积不少于一千平方米，其中档案室不少于一百平方米，设施、设备、软件等技术支撑条件满足工作需求；查验房产证，租赁协议原件等</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提交</w:t>
            </w:r>
          </w:p>
        </w:tc>
        <w:tc>
          <w:tcPr>
            <w:tcW w:w="112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5" w:hRule="atLeast"/>
          <w:jc w:val="center"/>
        </w:trPr>
        <w:tc>
          <w:tcPr>
            <w:tcW w:w="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安全评价师专业能力证明</w:t>
            </w:r>
          </w:p>
        </w:tc>
        <w:tc>
          <w:tcPr>
            <w:tcW w:w="5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5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2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担矿山、金属冶炼、危险化学品生产和储存、烟花爆竹等业务范围安全评价的机构，其专职安全评价师不低于规定的配备标准。安全评价师学历证书（所学基础专业）、职称证、取得技术职称、发表论文；或注册安全工程师。签订劳动合同、从业单位缴纳“五险”（事业单位缴存住房公积金）。</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112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20" w:hRule="atLeast"/>
          <w:jc w:val="center"/>
        </w:trPr>
        <w:tc>
          <w:tcPr>
            <w:tcW w:w="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相关负责人证明材料</w:t>
            </w:r>
          </w:p>
        </w:tc>
        <w:tc>
          <w:tcPr>
            <w:tcW w:w="5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5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2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任命文件、简历、职称证等。专职技术负责人具有一级安全评价师职业资格，并具有与所开展业务相匹配的高级专业技术职称，在本行业领域工作八年以上；专职过程控制负责人具有安全评价师职业资格</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教育</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部门等</w:t>
            </w:r>
          </w:p>
        </w:tc>
        <w:tc>
          <w:tcPr>
            <w:tcW w:w="112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38" w:hRule="atLeast"/>
          <w:jc w:val="center"/>
        </w:trPr>
        <w:tc>
          <w:tcPr>
            <w:tcW w:w="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机构内部管理制度（非受控版）</w:t>
            </w:r>
          </w:p>
        </w:tc>
        <w:tc>
          <w:tcPr>
            <w:tcW w:w="5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4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5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2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健全的内部管理制度和安全评价过程控制体系；正常运行并可以供公众查询机构信息的网站</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提交</w:t>
            </w:r>
          </w:p>
        </w:tc>
        <w:tc>
          <w:tcPr>
            <w:tcW w:w="112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27" w:hRule="atLeast"/>
          <w:jc w:val="center"/>
        </w:trPr>
        <w:tc>
          <w:tcPr>
            <w:tcW w:w="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11</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1-10项申请材料电子版</w:t>
            </w:r>
          </w:p>
        </w:tc>
        <w:tc>
          <w:tcPr>
            <w:tcW w:w="5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5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电子版</w:t>
            </w:r>
          </w:p>
        </w:tc>
        <w:tc>
          <w:tcPr>
            <w:tcW w:w="2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光盘或移动存储介质</w:t>
            </w:r>
          </w:p>
        </w:tc>
        <w:tc>
          <w:tcPr>
            <w:tcW w:w="7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提交</w:t>
            </w:r>
          </w:p>
        </w:tc>
        <w:tc>
          <w:tcPr>
            <w:tcW w:w="112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50" w:hRule="atLeast"/>
          <w:jc w:val="center"/>
        </w:trPr>
        <w:tc>
          <w:tcPr>
            <w:tcW w:w="7231"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注：1.此清单为资质初次申请、资质延续申请资料清单。请使用A4幅面、纵向左侧装订成册；所有复印件均应加盖公章。</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2.机构名称、注册地址、办公地址、法定代表人、专职技术负责人发生变化的，应当自发生变化之日起三十日内向原资质认可机关提出书面变更申请。</w:t>
            </w:r>
            <w:r>
              <w:rPr>
                <w:rFonts w:hint="default" w:ascii="宋体" w:hAnsi="宋体" w:eastAsia="宋体" w:cs="宋体"/>
                <w:i w:val="0"/>
                <w:color w:val="000000"/>
                <w:kern w:val="0"/>
                <w:sz w:val="15"/>
                <w:szCs w:val="15"/>
                <w:u w:val="none"/>
                <w:lang w:val="en-US" w:eastAsia="zh-CN" w:bidi="ar"/>
              </w:rPr>
              <w:t>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3.机构因改制、分立或者合并等原因发生变化的，应当自发生变化之日起三十日内向原资质认可机关书面申请重新核定资质条件和业务范围。</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4.申请机构对提交的申请材料真实性负责。</w:t>
            </w:r>
          </w:p>
        </w:tc>
      </w:tr>
    </w:tbl>
    <w:p>
      <w:pPr>
        <w:keepNext w:val="0"/>
        <w:keepLines w:val="0"/>
        <w:pageBreakBefore w:val="0"/>
        <w:widowControl/>
        <w:kinsoku/>
        <w:wordWrap/>
        <w:overflowPunct/>
        <w:topLinePunct w:val="0"/>
        <w:autoSpaceDE/>
        <w:autoSpaceDN/>
        <w:bidi w:val="0"/>
        <w:adjustRightInd w:val="0"/>
        <w:snapToGrid w:val="0"/>
        <w:spacing w:after="10" w:line="220" w:lineRule="atLeast"/>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br w:type="page"/>
      </w:r>
    </w:p>
    <w:p>
      <w:pPr>
        <w:spacing w:line="220" w:lineRule="atLeast"/>
        <w:rPr>
          <w:rFonts w:hint="eastAsia" w:ascii="方正小标宋简体" w:hAnsi="方正小标宋简体" w:eastAsia="方正小标宋简体" w:cs="方正小标宋简体"/>
          <w:b w:val="0"/>
          <w:bCs w:val="0"/>
          <w:sz w:val="28"/>
          <w:szCs w:val="28"/>
        </w:rPr>
      </w:pPr>
    </w:p>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特殊环节</w:t>
      </w:r>
    </w:p>
    <w:tbl>
      <w:tblPr>
        <w:tblStyle w:val="5"/>
        <w:tblW w:w="72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1"/>
        <w:gridCol w:w="1219"/>
        <w:gridCol w:w="4575"/>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详细描述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2"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4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环节名称</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专家评审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4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97"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《安全评价检测检验机构管理办法》（应急管理部令第1号、2019年5月1日施行）第十一条 资质认可机关应当自受理之日起二十个工作日内，对审查合格的，在本部门网站予以公告，公开有关信息（附件2、附件3），颁发资质证书，并将相关信息纳入安全评价检测检验机构信息查询系统；对审查不合格的，不予颁发资质证书，说明理由并出具书面凭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需要专家评审的，专家评审时间不计入本条第一款规定的审查期限内，但最长不超过三个月。</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4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3"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不超过三个月（90日）</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4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是否收费</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4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2"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收费依据及标准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4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bl>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28"/>
          <w:szCs w:val="28"/>
        </w:rPr>
      </w:pPr>
    </w:p>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28"/>
          <w:szCs w:val="28"/>
        </w:rPr>
      </w:pPr>
    </w:p>
    <w:p>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常见问题解答</w:t>
      </w:r>
    </w:p>
    <w:tbl>
      <w:tblPr>
        <w:tblStyle w:val="5"/>
        <w:tblW w:w="7228" w:type="dxa"/>
        <w:jc w:val="center"/>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
        <w:gridCol w:w="3149"/>
        <w:gridCol w:w="3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1"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问题</w:t>
            </w:r>
          </w:p>
        </w:tc>
        <w:tc>
          <w:tcPr>
            <w:tcW w:w="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1"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是否需要提交电子版？</w:t>
            </w:r>
          </w:p>
        </w:tc>
        <w:tc>
          <w:tcPr>
            <w:tcW w:w="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需要提交刻有所有申报材料电子版的光盘或者移动存储介质2份。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1"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是否需要提交合订本？</w:t>
            </w:r>
          </w:p>
        </w:tc>
        <w:tc>
          <w:tcPr>
            <w:tcW w:w="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依据行政许可档案管理规定，分别装订，不要合订本。</w:t>
            </w:r>
          </w:p>
        </w:tc>
      </w:tr>
    </w:tbl>
    <w:p>
      <w:pPr>
        <w:spacing w:line="220" w:lineRule="atLeast"/>
        <w:rPr>
          <w:rFonts w:hint="eastAsia"/>
        </w:rPr>
      </w:pPr>
    </w:p>
    <w:p>
      <w:pPr>
        <w:spacing w:line="220" w:lineRule="atLeast"/>
        <w:rPr>
          <w:rFonts w:hint="eastAsia"/>
        </w:rPr>
      </w:pPr>
    </w:p>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办理流程及环节说明</w:t>
      </w:r>
    </w:p>
    <w:tbl>
      <w:tblPr>
        <w:tblStyle w:val="5"/>
        <w:tblW w:w="724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
        <w:gridCol w:w="369"/>
        <w:gridCol w:w="1106"/>
        <w:gridCol w:w="969"/>
        <w:gridCol w:w="2677"/>
        <w:gridCol w:w="408"/>
        <w:gridCol w:w="556"/>
        <w:gridCol w:w="504"/>
        <w:gridCol w:w="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29"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6"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6"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环节名称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6"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提报材料及要求（审查标准）</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6"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办理内</w:t>
            </w:r>
          </w:p>
          <w:p>
            <w:pPr>
              <w:keepNext w:val="0"/>
              <w:keepLines w:val="0"/>
              <w:pageBreakBefore w:val="0"/>
              <w:widowControl/>
              <w:suppressLineNumbers w:val="0"/>
              <w:kinsoku/>
              <w:wordWrap/>
              <w:overflowPunct/>
              <w:topLinePunct w:val="0"/>
              <w:autoSpaceDE/>
              <w:autoSpaceDN/>
              <w:bidi w:val="0"/>
              <w:adjustRightInd w:val="0"/>
              <w:snapToGrid w:val="0"/>
              <w:spacing w:after="0" w:line="186"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（环节描述）</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6"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办理说明（环节结果）</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6"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办理时限</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6"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办理处（室）</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6"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办理</w:t>
            </w:r>
          </w:p>
          <w:p>
            <w:pPr>
              <w:keepNext w:val="0"/>
              <w:keepLines w:val="0"/>
              <w:pageBreakBefore w:val="0"/>
              <w:widowControl/>
              <w:suppressLineNumbers w:val="0"/>
              <w:kinsoku/>
              <w:wordWrap/>
              <w:overflowPunct/>
              <w:topLinePunct w:val="0"/>
              <w:autoSpaceDE/>
              <w:autoSpaceDN/>
              <w:bidi w:val="0"/>
              <w:adjustRightInd w:val="0"/>
              <w:snapToGrid w:val="0"/>
              <w:spacing w:after="0" w:line="186"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6"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收费金额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50"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受理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见申报材料清单</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网上预受理、受理，或</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窗口受理</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一、申请事项不在受理范围之内的：网上告知或窗口当场告知不予预受理的理由。</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Theme="minorEastAsia" w:hAnsiTheme="minorEastAsia" w:cstheme="minorEastAsia"/>
                <w:i w:val="0"/>
                <w:color w:val="000000"/>
                <w:kern w:val="0"/>
                <w:sz w:val="15"/>
                <w:szCs w:val="15"/>
                <w:u w:val="none"/>
                <w:lang w:val="en-US" w:eastAsia="zh-CN" w:bidi="ar"/>
              </w:rPr>
              <w:t>行政审批管理处</w:t>
            </w:r>
            <w:r>
              <w:rPr>
                <w:rFonts w:hint="eastAsia" w:asciiTheme="minorEastAsia" w:hAnsiTheme="minorEastAsia" w:eastAsiaTheme="minorEastAsia" w:cstheme="minorEastAsia"/>
                <w:i w:val="0"/>
                <w:color w:val="000000"/>
                <w:kern w:val="0"/>
                <w:sz w:val="15"/>
                <w:szCs w:val="15"/>
                <w:u w:val="none"/>
                <w:lang w:val="en-US" w:eastAsia="zh-CN" w:bidi="ar"/>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窗口接件的则出具书面受理通知书；②对书面材料不齐全、或与网上申请材料清单不一致、或不符合规定形式的，应一次性告知申请人不予受理的理由，并出具书面凭证。</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三、通知监管处：受理当日将受理情况告知监管业务处。</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1个工作日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行政审批管理处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工作</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65"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审查</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《安全评价检测检验机构管理办法》（应急管理部令第1号、2019年5月1日施行）</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一、审查核实评审：受理之日起应当组织对机构提交的申请文件、资料进行审查。需要到现场核查的，应当指派2名以上工作人员就有关内容进行现场核查。工作人员应当如实提出现场核查意见。需要进行专家评审的，组织专家进行评审。</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二、征求业务处室意见：自受理之日起，10个工作日内征求业务处室意见，业务处室应根据日常监管情况对该机构是否予以许可提出意见。</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三、召开处务会形成许可初步意见报批：处务会综合业务处室意见、专家评审意见、资料及现场核查意见，形成审查报告，报分管厅领导审定。</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一、 申请安全评价机构资质应当具备下列条件：（一）独立法人资格，固定资产不少于八百万元；（二）工作场所建筑面积不少于一千平方米，其中档案室不少于一百平方米，设施、设备、软件等技术支撑条件满足工作需求；（三）承担矿山、金属冶炼、危险化学品生产和储存、烟花爆竹等业务范围安全评价的机构，其专职安全评价师不低于本办法规定的配备标准（附件1）；（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五）健全的内部管理制度和安全评价过程控制体系；（六）法定代表人出具知悉并承担安全评价的法律责任、义务、权利和风险的承诺书；</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八）正常运行并可以供公众查询机构信息的网站；（九）截至申请之日三年内无重大违法失信记录；（十）法律、行政法规规定的其他条件。</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二、下列机构不得申请安全评价检测检验机构资质：（一）本办法第三条规定部门所属的事业单位及其出资设立的企业法人；（二）本办法第三条规定部门主管的社会组织及其出资设立的企业法人；（三）本条第一项、第二项中的企业法人出资设立（含控股、参股）的企业法人。</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三、资质认可机关自收到申请材料之日起五个工作日内，对材料齐全、符合规定形式的申请，应当予以受理，并出具书面受理文书；对材料不齐全或者不符合规定形式的，应当当场或者五个工作日内一次性告知申请人需要补正的全部内容；对不予受理的，应当说明理由并出具书面凭证。</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四、资质认可机关应当自受理之日起二十个工作日内，对审查合格的，在本部门网站予以公告，公开有关信息（附件2、附件3），颁发资质证书，并将相关信息纳入安全评价检测检验机构信息查询系统；对审查不合格的，不予颁发资质证书，说明理由并出具书面凭证。需要专家评审的，专家评审时间不计入本条第一款规定的审查期限内，但最长不超过三个月。</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五、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安全评价检测检验机构因改制、分立或者合并等原因发生变化的，应当自发生变化之日起三十日内向原资质认可机关书面申请重新核定资质条件和业务范围。安全评价检测检验机构取得资质一年以上，需要变更业务范围的，应当向原资质认可机关提出书面申请。</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六、安全评价检测检验机构资质证书有效期五年。资质证书有效期届满需要延续的，应当在有效期届满三个月前向原资质认可机关提出申请。</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七、省应急管理厅资质审查机关认为需要对申请材料的实质内容进行核实的，应当指派两名以上工作人员进行现场审查。</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八、安全评价机构的资质证书遗失的，应当及时在有关省级报刊媒体上予以声明，并向原资质审批机关申请补发。</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九、安全评价检测检验机构有下列情形之一的，原资质认可机关应当注销其资质，在本部门网站予以公告，并纳入安全评价检测检验机构信息查询系统：（一）法人资格终止；（二）资质证书有效期届满未延续（三）自行申请注销；（四）被依法撤销、撤回、吊销资质；（五）法律、行政法规规定的应当注销资质的其他情形。安全评价检测检验机构资质注销后无资质承继单位的，原安全评价检测检验机构及相关人员应当对注销前作出的安全评价检测检验结果继续负责。</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15工作日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行政审批管理处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郝海清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6"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决定</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《安全评价检测检验机构管理办法》（应急管理部令第1号、2019年5月1日施行）</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签发文件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right="0" w:rightChars="0"/>
              <w:jc w:val="both"/>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cstheme="minorEastAsia"/>
                <w:i w:val="0"/>
                <w:color w:val="000000"/>
                <w:kern w:val="0"/>
                <w:sz w:val="15"/>
                <w:szCs w:val="15"/>
                <w:u w:val="none"/>
                <w:lang w:val="en-US" w:eastAsia="zh-CN" w:bidi="ar"/>
              </w:rPr>
              <w:t>1.</w:t>
            </w:r>
            <w:r>
              <w:rPr>
                <w:rFonts w:hint="eastAsia" w:asciiTheme="minorEastAsia" w:hAnsiTheme="minorEastAsia" w:eastAsiaTheme="minorEastAsia" w:cstheme="minorEastAsia"/>
                <w:i w:val="0"/>
                <w:color w:val="000000"/>
                <w:kern w:val="0"/>
                <w:sz w:val="15"/>
                <w:szCs w:val="15"/>
                <w:u w:val="none"/>
                <w:lang w:val="en-US" w:eastAsia="zh-CN" w:bidi="ar"/>
              </w:rPr>
              <w:t>符合规定的，分管厅领导签发批准文件，网上提交“同意”意见。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right="0" w:rightChars="0"/>
              <w:jc w:val="both"/>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2.不符合规定，分管厅领导签发不予批准文件，网上提交“不同意”意见。</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5工作日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厅领导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杨振中</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51"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送达</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安全监管总局执法手册第七章</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制作资质证书，送达公告、整理归档。</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一、送达公告：将办结情况网上和短信通知申请人；送达《安全评价机构资质证书》或不予许可通知书；办结之日起5个工作日内在信用山西、企业信用信息和厅门户网站公告。</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二、整理规档：将申报材料、批准文件（或批复）和送达回执单等纸质材料送处档案室归档，档案交接手续齐全。</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5个工作日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行政审批管理处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工作</w:t>
            </w:r>
            <w:r>
              <w:rPr>
                <w:rFonts w:hint="eastAsia" w:asciiTheme="minorEastAsia" w:hAnsiTheme="minorEastAsia" w:eastAsiaTheme="minorEastAsia" w:cstheme="minorEastAsia"/>
                <w:i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color w:val="00000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不收费</w:t>
            </w:r>
          </w:p>
        </w:tc>
      </w:tr>
    </w:tbl>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3E72532"/>
    <w:rsid w:val="144C534F"/>
    <w:rsid w:val="147365B5"/>
    <w:rsid w:val="1493306A"/>
    <w:rsid w:val="166513AD"/>
    <w:rsid w:val="17BF241A"/>
    <w:rsid w:val="187E0CBC"/>
    <w:rsid w:val="18DF7B5C"/>
    <w:rsid w:val="193D7417"/>
    <w:rsid w:val="1A68298F"/>
    <w:rsid w:val="1DAB38F2"/>
    <w:rsid w:val="1E34339F"/>
    <w:rsid w:val="1EDE59A3"/>
    <w:rsid w:val="20B30FEC"/>
    <w:rsid w:val="211B1143"/>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40C54511"/>
    <w:rsid w:val="40F5463E"/>
    <w:rsid w:val="4235686E"/>
    <w:rsid w:val="42823BB4"/>
    <w:rsid w:val="429A3005"/>
    <w:rsid w:val="431F3CBB"/>
    <w:rsid w:val="44832935"/>
    <w:rsid w:val="4AE64E2C"/>
    <w:rsid w:val="4D591D25"/>
    <w:rsid w:val="4DCD70F4"/>
    <w:rsid w:val="4EB1509E"/>
    <w:rsid w:val="4FF17FED"/>
    <w:rsid w:val="527949AD"/>
    <w:rsid w:val="53DD33B5"/>
    <w:rsid w:val="548345CA"/>
    <w:rsid w:val="55461660"/>
    <w:rsid w:val="55D33F3B"/>
    <w:rsid w:val="56826E97"/>
    <w:rsid w:val="56EB646D"/>
    <w:rsid w:val="57727877"/>
    <w:rsid w:val="57F13D10"/>
    <w:rsid w:val="581D002A"/>
    <w:rsid w:val="594F76B5"/>
    <w:rsid w:val="59581205"/>
    <w:rsid w:val="5AE358EF"/>
    <w:rsid w:val="5B3D16A9"/>
    <w:rsid w:val="5C4E77DC"/>
    <w:rsid w:val="5D416066"/>
    <w:rsid w:val="5DD02617"/>
    <w:rsid w:val="5FBA33D4"/>
    <w:rsid w:val="61184820"/>
    <w:rsid w:val="61EC36FF"/>
    <w:rsid w:val="62305EF1"/>
    <w:rsid w:val="6430381A"/>
    <w:rsid w:val="65466D48"/>
    <w:rsid w:val="65BD4A96"/>
    <w:rsid w:val="66E00750"/>
    <w:rsid w:val="66F249AC"/>
    <w:rsid w:val="6A83417D"/>
    <w:rsid w:val="6BA335E4"/>
    <w:rsid w:val="6CAA3A48"/>
    <w:rsid w:val="6E350EB2"/>
    <w:rsid w:val="70811AF7"/>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0</TotalTime>
  <ScaleCrop>false</ScaleCrop>
  <LinksUpToDate>false</LinksUpToDate>
  <CharactersWithSpaces>6690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NTKO</cp:lastModifiedBy>
  <dcterms:modified xsi:type="dcterms:W3CDTF">2019-09-20T01:30:05Z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