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粗黑宋简体" w:hAnsi="方正粗黑宋简体" w:eastAsia="方正粗黑宋简体" w:cs="方正粗黑宋简体"/>
          <w:b/>
          <w:bCs/>
          <w:sz w:val="32"/>
          <w:szCs w:val="32"/>
        </w:rPr>
      </w:pPr>
      <w:r>
        <w:rPr>
          <w:rStyle w:val="7"/>
          <w:rFonts w:hint="eastAsia" w:ascii="方正粗黑宋简体" w:hAnsi="方正粗黑宋简体" w:eastAsia="方正粗黑宋简体" w:cs="方正粗黑宋简体"/>
          <w:b/>
          <w:bCs/>
          <w:sz w:val="32"/>
          <w:szCs w:val="32"/>
          <w:lang w:val="en-US" w:eastAsia="zh-CN" w:bidi="ar"/>
        </w:rPr>
        <w:t>其他金属冶炼建设项目安全设施设计审查</w:t>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基本信息</w:t>
      </w:r>
      <w:bookmarkStart w:id="0" w:name="_GoBack"/>
      <w:bookmarkEnd w:id="0"/>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
        <w:gridCol w:w="915"/>
        <w:gridCol w:w="2400"/>
        <w:gridCol w:w="2830"/>
        <w:gridCol w:w="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要素名称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要素内容</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内容说明</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矿山、金属冶炼建设项目和用于生产、储存危险物品的建设项目的安全设施设计审查</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子项名称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其他金属冶炼建设项目安全设施设计审查</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有子项的填写子项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事项编码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000125037011</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事项类型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行政许可/行政征收/行政给付/行政确认/其他事项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事项来源</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法定本级行使/下放本级行使/委托本级行使</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行使层级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（可多选）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省级</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国家级、省级、市级、县级、乡级、村级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实施机构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山西省应急管理厅</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办理具体政务服务事项的机构名称</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办件类型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承诺件/即办件/上报件/联报件</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7"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服务对象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自然人/法人（行政机关、事业单位、企业、其他组织等）</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法定时限</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35个工作日（审查、决定20个工作日；受理、送达15个工作日）</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某一政务服务事项法规条款明确的具体办结时限（工作日/自然日）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承诺时限</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26个工作日</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对外承诺办结时限（工作日/自然日）</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时限依据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《建设项目安全设施“三同时”监督管理办法》第十二条 第十三条</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法律法规名称、对应条款描述</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数量限制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没有数量限制的填写无限制</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收费方式</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不收费/窗口收费/已实现网上缴费/计划增加网上缴费方式</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收费标准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物价部门核定的标准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收费依据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政府部门正式批文</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4"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default"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结果名称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其他金属冶炼建设项目安全设施设计审查意见书</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由法规制定的规范命名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结果样本</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证照、批文采用安全通用的文件格式，图片清晰美观，图片中涉及企业、个人信息须隐藏（作为附件）</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受理条件及依据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符合《建设项目安全设施“三同时”监督管理办法》第三章</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逐条填写受理条件及相关对应法律条文</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4"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是否在本级政务服务中心业务系统统一审批办理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使用大厅统一审批系统/上级部门统建审批系统/本级自建审批系统/未实行网上审批办理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8"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办理形式</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（可多选）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实体大厅窗口办理、材料预审、在线咨询、网上查询、网上申报</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实体大厅窗口办理、网上预约、材料预审、网上申报、在线咨询、网上缴费、网上查询</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承诺到现场窗口最多次数（不计邮递结果）</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0-1次</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无法承诺/1次/2次/3次</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办理结果获取方式（可多选）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窗口领取、邮递办理结果、无需取件</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6"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通办范围</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全省/跨市/跨县（区）</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物流快递</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顺丰、邮政</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是否支持办理结果邮递，如果支持填写物流快递合作商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联办机构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同一事项有两个以上实施机构</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9"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中介服务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评价机构、安全设施设计单位</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法定涉及的中介服务，中介名称</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6"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办理地点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山西省政务服务中心A座一层15号（省应急管理厅）窗口</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具体承办单位所在地点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办理时间</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 xml:space="preserve">周一至周五（法定节假日除外）：上午9:00-12:00 </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下午:13:00-17:00</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事项可办理的时间</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咨询服务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窗口咨询、电话咨询、电子邮件咨询、网上咨询等可提供的咨询方式</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5"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交通指引</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太原市小店区坞城南路50号，乘车路线（79路、836路、870路、877路经停，可在省政务中心（大吴村）公交站点上/下车）</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1"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监督投诉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窗口投诉、电话投诉、网上投诉、电子邮件投诉、信函投诉等渠道（本项内容由政务服务中心统一填写，各厅局单位无需填写）</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2"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行政复议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行政诉讼</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可申请行政复议或行政诉讼的部门名称、地点、联系方式等相关信息（本项内容由政务服务中心统一填写，各厅局单位无需填写）</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bl>
    <w:p>
      <w:pPr>
        <w:jc w:val="center"/>
        <w:rPr>
          <w:rFonts w:hint="eastAsia"/>
        </w:rPr>
      </w:pPr>
      <w:r>
        <w:rPr>
          <w:rFonts w:hint="eastAsia"/>
        </w:rPr>
        <w:br w:type="page"/>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设定依据</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0"/>
        <w:gridCol w:w="465"/>
        <w:gridCol w:w="5700"/>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kern w:val="0"/>
                <w:sz w:val="15"/>
                <w:szCs w:val="15"/>
                <w:u w:val="none"/>
                <w:lang w:val="en-US" w:eastAsia="zh-CN" w:bidi="ar"/>
              </w:rPr>
            </w:pPr>
            <w:r>
              <w:rPr>
                <w:rFonts w:hint="eastAsia" w:asciiTheme="minorEastAsia" w:hAnsiTheme="minorEastAsia" w:eastAsiaTheme="minorEastAsia" w:cstheme="minorEastAsia"/>
                <w:b/>
                <w:i w:val="0"/>
                <w:color w:val="000000"/>
                <w:kern w:val="0"/>
                <w:sz w:val="15"/>
                <w:szCs w:val="15"/>
                <w:u w:val="none"/>
                <w:lang w:val="en-US" w:eastAsia="zh-CN" w:bidi="ar"/>
              </w:rPr>
              <w:t>序号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kern w:val="0"/>
                <w:sz w:val="15"/>
                <w:szCs w:val="15"/>
                <w:u w:val="none"/>
                <w:lang w:val="en-US" w:eastAsia="zh-CN" w:bidi="ar"/>
              </w:rPr>
            </w:pPr>
            <w:r>
              <w:rPr>
                <w:rFonts w:hint="eastAsia" w:asciiTheme="minorEastAsia" w:hAnsiTheme="minorEastAsia" w:eastAsiaTheme="minorEastAsia" w:cstheme="minorEastAsia"/>
                <w:b/>
                <w:i w:val="0"/>
                <w:color w:val="000000"/>
                <w:kern w:val="0"/>
                <w:sz w:val="15"/>
                <w:szCs w:val="15"/>
                <w:u w:val="none"/>
                <w:lang w:val="en-US" w:eastAsia="zh-CN" w:bidi="ar"/>
              </w:rPr>
              <w:t>项目</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kern w:val="0"/>
                <w:sz w:val="15"/>
                <w:szCs w:val="15"/>
                <w:u w:val="none"/>
                <w:lang w:val="en-US" w:eastAsia="zh-CN" w:bidi="ar"/>
              </w:rPr>
            </w:pPr>
            <w:r>
              <w:rPr>
                <w:rFonts w:hint="eastAsia" w:asciiTheme="minorEastAsia" w:hAnsiTheme="minorEastAsia" w:eastAsiaTheme="minorEastAsia" w:cstheme="minorEastAsia"/>
                <w:b/>
                <w:i w:val="0"/>
                <w:color w:val="000000"/>
                <w:kern w:val="0"/>
                <w:sz w:val="15"/>
                <w:szCs w:val="15"/>
                <w:u w:val="none"/>
                <w:lang w:val="en-US" w:eastAsia="zh-CN" w:bidi="ar"/>
              </w:rPr>
              <w:t>详细描述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000000"/>
                <w:kern w:val="0"/>
                <w:sz w:val="15"/>
                <w:szCs w:val="15"/>
                <w:u w:val="none"/>
                <w:lang w:val="en-US" w:eastAsia="zh-CN" w:bidi="ar"/>
              </w:rPr>
            </w:pPr>
            <w:r>
              <w:rPr>
                <w:rFonts w:hint="eastAsia" w:asciiTheme="minorEastAsia" w:hAnsiTheme="minorEastAsia" w:eastAsiaTheme="minorEastAsia" w:cstheme="minorEastAsia"/>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《中华人民共和国安全生产法》 第六十条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Theme="minorEastAsia" w:hAnsiTheme="minorEastAsia" w:eastAsiaTheme="minorEastAsia" w:cstheme="minorEastAsia"/>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jc w:val="center"/>
        </w:trPr>
        <w:tc>
          <w:tcPr>
            <w:tcW w:w="4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7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Theme="minorEastAsia" w:hAnsiTheme="minorEastAsia" w:eastAsiaTheme="minorEastAsia" w:cstheme="minorEastAsia"/>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70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《建设项目安全设施“三同时”监督管理办法》（原国家安全监管总局令第36号）第五条、第十二条、第十三条</w:t>
            </w:r>
          </w:p>
        </w:tc>
        <w:tc>
          <w:tcPr>
            <w:tcW w:w="6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Theme="minorEastAsia" w:hAnsiTheme="minorEastAsia" w:eastAsiaTheme="minorEastAsia" w:cstheme="minorEastAsia"/>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0" w:hRule="atLeast"/>
          <w:jc w:val="center"/>
        </w:trPr>
        <w:tc>
          <w:tcPr>
            <w:tcW w:w="420"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70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第五条 国家安全生产监督管理总局对全国建设项目安全设施“三同时”实施综合监督管理，并在国务院规定的职责范围内承担有关建设项目安全设施“三同时”的监督管理。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跨两个及两个以上行政区域的建设项目安全设施“三同时”由其共同的上一级人民政府安全生产监督管理部门实施监督管理。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上一级人民政府安全生产监督管理部门根据工作需要，可以将其负责监督管理的建设项目安全设施“三同时”工作委托下一级人民政府安全生产监督管理部门实施监督管理。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第十二条 本办法第七条第（一）项、第（二）项、第（三）项、第（四）项规定的建设项目安全设施设计完成后，生产经营单位应当按照本办法第五条的规定向安全生产监督管理部门提出审查申请，并提交下列文件资料：</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（一）建设项目审批、核准或者备案的文件；</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（二）建设项目安全设施设计审查申请；</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（三）设计单位的设计资质证明文件；</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（四）建设项目安全设施设计；</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（五）建设项目安全预评价报告及相关文件资料；</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（六）法律、行政法规、规章规定的其他文件资料。</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第十三条 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tc>
        <w:tc>
          <w:tcPr>
            <w:tcW w:w="6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Theme="minorEastAsia" w:hAnsiTheme="minorEastAsia" w:eastAsiaTheme="minorEastAsia" w:cstheme="minorEastAsia"/>
                <w:i w:val="0"/>
                <w:color w:val="000000"/>
                <w:sz w:val="16"/>
                <w:szCs w:val="16"/>
                <w:u w:val="none"/>
              </w:rPr>
            </w:pPr>
          </w:p>
        </w:tc>
      </w:tr>
    </w:tbl>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申报材料</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3"/>
        <w:gridCol w:w="1415"/>
        <w:gridCol w:w="546"/>
        <w:gridCol w:w="386"/>
        <w:gridCol w:w="697"/>
        <w:gridCol w:w="1950"/>
        <w:gridCol w:w="1020"/>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9" w:hRule="atLeast"/>
          <w:jc w:val="center"/>
        </w:trPr>
        <w:tc>
          <w:tcPr>
            <w:tcW w:w="7230"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21"/>
                <w:szCs w:val="21"/>
                <w:u w:val="none"/>
                <w:lang w:val="en-US" w:eastAsia="zh-CN" w:bidi="ar"/>
              </w:rPr>
              <w:t>其他金属冶炼建设项目安全设施设计审查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jc w:val="center"/>
        </w:trPr>
        <w:tc>
          <w:tcPr>
            <w:tcW w:w="3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序号</w:t>
            </w:r>
          </w:p>
        </w:tc>
        <w:tc>
          <w:tcPr>
            <w:tcW w:w="14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材料名称</w:t>
            </w:r>
          </w:p>
        </w:tc>
        <w:tc>
          <w:tcPr>
            <w:tcW w:w="5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3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份数</w:t>
            </w:r>
          </w:p>
        </w:tc>
        <w:tc>
          <w:tcPr>
            <w:tcW w:w="69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材料类型</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要求</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材料来源</w:t>
            </w:r>
          </w:p>
        </w:tc>
        <w:tc>
          <w:tcPr>
            <w:tcW w:w="87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及描述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3" w:hRule="atLeast"/>
          <w:jc w:val="center"/>
        </w:trPr>
        <w:tc>
          <w:tcPr>
            <w:tcW w:w="34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4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建设项目安全设施设计审查申请书</w:t>
            </w:r>
          </w:p>
        </w:tc>
        <w:tc>
          <w:tcPr>
            <w:tcW w:w="54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38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9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固定格式</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填写齐全；法定代表人签字（厅门户网站行政审批事项栏目下载）</w:t>
            </w:r>
          </w:p>
        </w:tc>
        <w:tc>
          <w:tcPr>
            <w:tcW w:w="102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发改部门/</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经信部门</w:t>
            </w:r>
          </w:p>
        </w:tc>
        <w:tc>
          <w:tcPr>
            <w:tcW w:w="873"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《建设项目安全设施“三同时”监督管理办法》（原国家安全监管总局令第36号）第十二条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7"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建设项目安全设施设计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规定内容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按照《金属冶炼建设项目安全设施设计编写提纲》（原安监总管四〔2015〕71号）编写安全设施设计，提交合订本。含建设项目审批、核准或者备案的文件。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设计机构编制</w:t>
            </w:r>
          </w:p>
        </w:tc>
        <w:tc>
          <w:tcPr>
            <w:tcW w:w="873" w:type="dxa"/>
            <w:vMerge w:val="continue"/>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8"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建设项目安全预评价报告</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规定内容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评价报告合订本或者分订本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评价机构/申请人自行编制</w:t>
            </w:r>
          </w:p>
        </w:tc>
        <w:tc>
          <w:tcPr>
            <w:tcW w:w="873" w:type="dxa"/>
            <w:vMerge w:val="continue"/>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75" w:hRule="atLeast"/>
          <w:jc w:val="center"/>
        </w:trPr>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注：1.此表适用于其他金属冶炼建设项目安全设施设计审查，上传申请材料清单必须是PDF格式电子版，同时上传申请材料合成到1张光盘内，要件分别装订。</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2.生产经营单位在建设项目初步设计时，应当委托有相应资质的设计单位对建设项目安全设施同时进行设计，编制安全设施设计。安全设施设计单位、设计人应当对其编制的设计文件负责。</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3.生产经营单位对提交的申请材料真实性负责。</w:t>
            </w:r>
          </w:p>
        </w:tc>
      </w:tr>
    </w:tbl>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特殊环节</w:t>
      </w:r>
    </w:p>
    <w:tbl>
      <w:tblPr>
        <w:tblStyle w:val="5"/>
        <w:tblW w:w="67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3"/>
        <w:gridCol w:w="1018"/>
        <w:gridCol w:w="3822"/>
        <w:gridCol w:w="700"/>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1"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序号</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项目</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详细描述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备注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8" w:hRule="atLeast"/>
          <w:jc w:val="center"/>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环节名称</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延长</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4"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《建设项目安全设施“三同时”监督管理办法》（原安监总局令第36号）第十三条 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0"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是否收费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w:t>
            </w:r>
          </w:p>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及标准</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bl>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办理流程及环节说明</w:t>
      </w:r>
    </w:p>
    <w:tbl>
      <w:tblPr>
        <w:tblStyle w:val="5"/>
        <w:tblW w:w="72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8"/>
        <w:gridCol w:w="369"/>
        <w:gridCol w:w="1106"/>
        <w:gridCol w:w="910"/>
        <w:gridCol w:w="2730"/>
        <w:gridCol w:w="406"/>
        <w:gridCol w:w="486"/>
        <w:gridCol w:w="534"/>
        <w:gridCol w:w="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序号</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环节名称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提报材料及要求（审查标准）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办理内容</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（环节描述）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办理说明（环节结果）</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办理时限</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办理处（室）</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人员</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80" w:hRule="atLeast"/>
          <w:jc w:val="center"/>
        </w:trPr>
        <w:tc>
          <w:tcPr>
            <w:tcW w:w="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受理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符合《建设项目安全设施“三同时”监督管理办法》第三章 建设项目安全设施设计审查</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网上预受理、受理，或窗口受理。材料预审、在线咨询、网上查询、网上申报。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一、申请事项不在受理范围之内的：网上告知或窗口当场告知不予预受理的理由。</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行政审批管理处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1个工作日</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行政审批管理处</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窗口工作人员</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78" w:hRule="atLeast"/>
          <w:jc w:val="center"/>
        </w:trPr>
        <w:tc>
          <w:tcPr>
            <w:tcW w:w="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审查</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符合《建设项目安全设施“三同时”监督管理办法》第三章 建设项目安全设施设计审查</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受理之日起应当组织对企业提交的申请文件、资料进行审查。对企业提交的文件、资料实质内容存在疑问，需要到现场核查的，应当指派工作人员就有关内容进行现场核查。工作人员应当如实提出现场核查意见。 2.审查过程中的现场核查所需时间不计算在本条规定的期限内。</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2.建设项目安全设施设计有下列情形之一的，不予批准，并不得开工建设：①无建设项目审批、核准或者备案文件的；②未委托具有相应资质的设计单位进行设计的；③设计内容不符合有关安全生产的法律、法规、规章和国家标准或者行业标准、技术规范的规定的；④未采纳安全预评价报告中的安全对策和建议，且未作充分论证说明的。</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3.组织召开处务会议；拟稿批准文件，报厅分管领导审批。</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15个工作日</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冶金工贸监管处</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韩富贵</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77" w:hRule="atLeast"/>
          <w:jc w:val="center"/>
        </w:trPr>
        <w:tc>
          <w:tcPr>
            <w:tcW w:w="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决定</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符合《建设项目安全设施“三同时”监督管理办法》第三章 建设项目安全设施设计审查</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签发文件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1.符合规定的，分管厅领导签发批准文件，网上提交“同意”意见。2.不符合规定，分管厅领导签发不予批准文件，网上提交“不同意”意见。</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5个工作日</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厅领导</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王天庆</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9" w:hRule="atLeast"/>
          <w:jc w:val="center"/>
        </w:trPr>
        <w:tc>
          <w:tcPr>
            <w:tcW w:w="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送达</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安全监管总局执法手册第七章</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送达公告，整理归档。</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一.送达公告：将办结情况网上和短信通知申请人；送达批复或不予批复通知书；办结之日起5个工作日内在信用山西、企业信用信息和厅门户网站公告。</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二.整理归档：将申报材料、批准文件（或批复）和送达回执单等纸质书面材料送处档案室归档，档案交接手续齐全。</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5个工作日</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行政审批管理处</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工作人员</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bl>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常见问题解答</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3"/>
        <w:gridCol w:w="3544"/>
        <w:gridCol w:w="3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问题</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4"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是否需要提交电子版</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需要提交刻有所有材料电子版的光盘一份。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3"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设计单位的设计资质证明文件附在设计专篇中可以吗</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可以。但作为申请材料要件，需要另附一份。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4"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申请材料是否提交合订本？</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依据行政许可档案管理规定，需要分件装订，不要合订本。</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p>
      <w:pPr>
        <w:rPr>
          <w:rFonts w:hint="eastAsia" w:ascii="方正小标宋简体" w:eastAsia="方正小标宋简体"/>
          <w:sz w:val="28"/>
          <w:szCs w:val="28"/>
        </w:rPr>
      </w:pPr>
    </w:p>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3E72532"/>
    <w:rsid w:val="144C534F"/>
    <w:rsid w:val="147365B5"/>
    <w:rsid w:val="1493306A"/>
    <w:rsid w:val="155B2B86"/>
    <w:rsid w:val="166513AD"/>
    <w:rsid w:val="17BF241A"/>
    <w:rsid w:val="187E0CBC"/>
    <w:rsid w:val="18DF7B5C"/>
    <w:rsid w:val="193D7417"/>
    <w:rsid w:val="1A68298F"/>
    <w:rsid w:val="1DAB38F2"/>
    <w:rsid w:val="1E34339F"/>
    <w:rsid w:val="1EDE59A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75B271D"/>
    <w:rsid w:val="3A697C88"/>
    <w:rsid w:val="3C9330CD"/>
    <w:rsid w:val="3DF370BC"/>
    <w:rsid w:val="3F3C7DA8"/>
    <w:rsid w:val="3F9C6652"/>
    <w:rsid w:val="40C54511"/>
    <w:rsid w:val="40F5463E"/>
    <w:rsid w:val="4235686E"/>
    <w:rsid w:val="42823BB4"/>
    <w:rsid w:val="429A3005"/>
    <w:rsid w:val="431F3CBB"/>
    <w:rsid w:val="44832935"/>
    <w:rsid w:val="4AE64E2C"/>
    <w:rsid w:val="4D591D25"/>
    <w:rsid w:val="4DCD70F4"/>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E3E025E"/>
    <w:rsid w:val="5FBA33D4"/>
    <w:rsid w:val="61184820"/>
    <w:rsid w:val="61EC36FF"/>
    <w:rsid w:val="62305EF1"/>
    <w:rsid w:val="64F973F1"/>
    <w:rsid w:val="65466D48"/>
    <w:rsid w:val="65BD4A96"/>
    <w:rsid w:val="66E00750"/>
    <w:rsid w:val="66F249AC"/>
    <w:rsid w:val="6A83417D"/>
    <w:rsid w:val="6BA335E4"/>
    <w:rsid w:val="6CAA3A48"/>
    <w:rsid w:val="6E350EB2"/>
    <w:rsid w:val="70811AF7"/>
    <w:rsid w:val="71393C4F"/>
    <w:rsid w:val="73C94A1F"/>
    <w:rsid w:val="740057C2"/>
    <w:rsid w:val="741F3A3B"/>
    <w:rsid w:val="75A64F45"/>
    <w:rsid w:val="776E1A5E"/>
    <w:rsid w:val="78D4662D"/>
    <w:rsid w:val="7C0930C4"/>
    <w:rsid w:val="7CE23C7A"/>
    <w:rsid w:val="7D38437C"/>
    <w:rsid w:val="7E1309B9"/>
    <w:rsid w:val="7F9412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0</TotalTime>
  <ScaleCrop>false</ScaleCrop>
  <LinksUpToDate>false</LinksUpToDate>
  <CharactersWithSpaces>6690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NTKO</cp:lastModifiedBy>
  <dcterms:modified xsi:type="dcterms:W3CDTF">2019-09-20T01:32:16Z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