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粗黑宋简体" w:hAnsi="方正粗黑宋简体" w:eastAsia="方正粗黑宋简体" w:cs="方正粗黑宋简体"/>
          <w:b/>
          <w:bCs/>
          <w:sz w:val="32"/>
          <w:szCs w:val="32"/>
        </w:rPr>
      </w:pPr>
      <w:r>
        <w:rPr>
          <w:rStyle w:val="7"/>
          <w:rFonts w:hint="eastAsia" w:ascii="方正粗黑宋简体" w:hAnsi="方正粗黑宋简体" w:eastAsia="方正粗黑宋简体" w:cs="方正粗黑宋简体"/>
          <w:b/>
          <w:bCs/>
          <w:sz w:val="32"/>
          <w:szCs w:val="32"/>
          <w:lang w:val="en-US" w:eastAsia="zh-CN" w:bidi="ar"/>
        </w:rPr>
        <w:t>其他非煤矿山建设项目安全设施设计审查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p>
    <w:tbl>
      <w:tblPr>
        <w:tblStyle w:val="5"/>
        <w:tblW w:w="72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4"/>
        <w:gridCol w:w="2336"/>
        <w:gridCol w:w="2568"/>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要素内容</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内容说明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矿山、金属冶炼建设项目和用于生产、储存危险物品的建设项目的安全设施设计审查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子项名称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其他非煤矿山建设项目安全设施设计审查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有子项的填写子项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事项编码</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000125037015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事项类型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行政许可/行政征收/行政给付/行政确认/其他事项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事项来源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法定本级行使/下放本级行使/委托本级行使</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行使层级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省级</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国家级、省级、市级、县级、乡级、村级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实施机构</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山西省应急管理厅</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办理具体政务服务事项的机构名称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办件类型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承诺件/即办件/上报件/联报件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服务对象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法人</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自然人/法人（行政机关、事业单位、企业、其他组织等）</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法定时限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35个工作日（审查、决定20个工作日；受理、送达15个工作日）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某一政务服务事项法规条款明确的具体办结时限（工作日/自然日）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8"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承诺时限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26个工作日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对外承诺办结时限（工作日/自然日）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时限依据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《建设项目安全设施“三同时”监督管理办法》第十二条 第十三条</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法律法规名称、对应条款描述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数量限制</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没有数量限制的填写无限制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收费方式</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不收费/窗口收费/已实现网上缴费/计划增加网上缴费方式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收费标准</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物价部门核定的标准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政府部门正式批文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其他金属冶炼建设项目安全设施设计审查意见书</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由法规制定的规范命名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结果样本</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证照、批文采用安全通用的文件格式，图片清晰美观，图片中涉及企业、个人信息须隐藏（作为附件）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受理条件及依据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符合《建设项目安全设施“三同时”监督管理办法》第三章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逐条填写受理条件及相关对应法律条文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是否在本级政务服务中心业务系统统一审批办理</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使用大厅统一审批系统/上级部门统建审批系统/本级自建审批系统/未实行网上审批办理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办理形式（可多选）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实体大厅窗口办理、材料预审、在线咨询、网上查询、网上申报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实体大厅窗口办理、网上预约、材料预审、网上申报、在线咨询、网上缴费、网上查询</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承诺到现场窗口最多次数（不计邮递结果）</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0-1次</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无法承诺/1次/2次/3次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办理结果获取方式（可多选）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窗口领取、邮递办理结果、无需取件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通办范围</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全省/跨市/跨县（区）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物流快递</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顺丰、邮政</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是否支持办理结果邮递，如果支持填写物流快递合作商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联办机构</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同一事项有两个以上实施机构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中介服务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评价机构、安全设施设计单位</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法定涉及的中介服务，中介名称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办理地点</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具体承办单位所在地点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办理时间</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 xml:space="preserve">周一至周五（法定节假日除外）：上午9:00-12:00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下午:13:00-17:00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事项可办理的时间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咨询服务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窗口咨询、电话咨询、电子邮件咨询、网上咨询等可提供的咨询方式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交通指引</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太原市小店区坞城南路50号，乘车路线（79路、836路、870路、877路经停，可在省政务中心（大吴村）公交站点上/下车）</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监督投诉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窗口投诉、电话投诉、网上投诉、电子邮件投诉、信函投诉等渠道（本项内容由政务服务中心统一填写，各厅局单位无需填写）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行政复议行政诉讼</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可申请行政复议或行政诉讼的部门名称、地点、联系方式等相关信息（本项内容由政务服务中心统一填写，各厅局单位无需填写）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6"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项目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详细描述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61"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《中华人民共和国安全生产法》 第六十条 </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92"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0"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92"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1"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《建设项目安全设施“三同时”监督管理办法》（原国家安全监管总局令第36号）第五条、第十二条、第十三条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92"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第五条 国家安全生产监督管理总局对全国建设项目安全设施“三同时”实施综合监督管理，并在国务院规定的职责范围内承担有关建设项目安全设施“三同时”的监督管理。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跨两个及两个以上行政区域的建设项目安全设施“三同时”由其共同的上一级人民政府安全生产监督管理部门实施监督管理。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上一级人民政府安全生产监督管理部门根据工作需要，可以将其负责监督管理的建设项目安全设施“三同时”工作委托下一级人民政府安全生产监督管理部门实施监督管理。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第十二条 本办法第七条第（一）项、第（二）项、第（三）项、第（四）项规定的建设项目安全设施设计完成后，生产经营单位应当按照本办法第五条的规定向安全生产监督管理部门提出审查申请，并提交下列文件资料：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（一）建设项目审批、核准或者备案的文件；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（二）建设项目安全设施设计审查申请；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（三）设计单位的设计资质证明文件；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（四）建设项目安全设施设计；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（五）建设项目安全预评价报告及相关文件资料；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（六）法律、行政法规、规章规定的其他文件资料。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第十三条 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92"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5"/>
                <w:szCs w:val="15"/>
                <w:u w:val="none"/>
              </w:rPr>
            </w:pPr>
          </w:p>
        </w:tc>
      </w:tr>
    </w:tbl>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p>
      <w:pPr>
        <w:jc w:val="both"/>
        <w:rPr>
          <w:rFonts w:hint="eastAsia" w:ascii="宋体" w:hAnsi="宋体" w:eastAsia="宋体" w:cs="宋体"/>
          <w:sz w:val="21"/>
          <w:szCs w:val="21"/>
        </w:rPr>
      </w:pPr>
      <w:r>
        <w:rPr>
          <w:rFonts w:hint="eastAsia" w:ascii="宋体" w:hAnsi="宋体" w:eastAsia="宋体" w:cs="宋体"/>
          <w:sz w:val="21"/>
          <w:szCs w:val="21"/>
        </w:rPr>
        <w:t>其他非煤矿山建设项目安全设施设计审查</w:t>
      </w:r>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2"/>
        <w:gridCol w:w="1413"/>
        <w:gridCol w:w="700"/>
        <w:gridCol w:w="400"/>
        <w:gridCol w:w="925"/>
        <w:gridCol w:w="1200"/>
        <w:gridCol w:w="937"/>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复印件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份数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材料类型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要求</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材料来源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法定依据及描述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1"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建设项目安全设施设计审查申请书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固定格式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填写齐全；法定代表人签字（厅门户网站行政审批事项栏目下载）</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发改部门/经信部门</w:t>
            </w:r>
          </w:p>
        </w:tc>
        <w:tc>
          <w:tcPr>
            <w:tcW w:w="11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《建设项目安全设施“三同时”监督管理办法》（原国家安全监管总局令第36号）第十二条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7"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建设项目安全设施设计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规定内容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按提纲编写设计专编。含建设项目审批、核准或者备案的文件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设计机构编制</w:t>
            </w:r>
          </w:p>
        </w:tc>
        <w:tc>
          <w:tcPr>
            <w:tcW w:w="1184"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1" w:hRule="atLeast"/>
          <w:jc w:val="center"/>
        </w:trPr>
        <w:tc>
          <w:tcPr>
            <w:tcW w:w="72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注：1.此表适用于其他非煤矿山建设项目安全设施设计审查，上传申请材料清单必须是PDF格式电子版，同时上传申请材料合成到1张光盘内，要件分别装订。</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2.生产经营单位在建设项目初步设计时，应当委托有相应资质的设计单位对建设项目安全设施同时进行设计，编制安全设施设计。安全设施设计单位、设计人应当对其编制的设计文件负责。</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3.生产经营单位对提交的申请材料真实性负责。</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特殊环节</w:t>
      </w:r>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8"/>
        <w:gridCol w:w="4573"/>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项目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rightChars="0" w:firstLine="0" w:firstLineChars="0"/>
              <w:jc w:val="center"/>
              <w:textAlignment w:val="center"/>
              <w:outlineLvl w:val="9"/>
              <w:rPr>
                <w:rFonts w:hint="eastAsia"/>
                <w:sz w:val="18"/>
                <w:szCs w:val="18"/>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rightChars="0" w:firstLine="0" w:firstLineChars="0"/>
              <w:jc w:val="center"/>
              <w:textAlignment w:val="center"/>
              <w:outlineLvl w:val="9"/>
              <w:rPr>
                <w:rFonts w:hint="eastAsia"/>
                <w:sz w:val="18"/>
                <w:szCs w:val="18"/>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rightChars="0" w:firstLine="0" w:firstLineChars="0"/>
              <w:jc w:val="center"/>
              <w:textAlignment w:val="center"/>
              <w:outlineLvl w:val="9"/>
              <w:rPr>
                <w:rFonts w:hint="eastAsia"/>
                <w:sz w:val="18"/>
                <w:szCs w:val="18"/>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rightChars="0" w:firstLine="0" w:firstLineChars="0"/>
              <w:jc w:val="center"/>
              <w:textAlignment w:val="center"/>
              <w:outlineLvl w:val="9"/>
              <w:rPr>
                <w:rFonts w:hint="eastAsia"/>
                <w:sz w:val="18"/>
                <w:szCs w:val="18"/>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延长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2"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《建设项目安全设施“三同时”监督管理办法》（原安监总局令第36号）第十三条 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10个工作日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outlineLvl w:val="9"/>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办理流程及环节说明</w:t>
      </w:r>
    </w:p>
    <w:tbl>
      <w:tblPr>
        <w:tblStyle w:val="5"/>
        <w:tblW w:w="7241" w:type="dxa"/>
        <w:jc w:val="center"/>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9"/>
        <w:gridCol w:w="1106"/>
        <w:gridCol w:w="913"/>
        <w:gridCol w:w="2733"/>
        <w:gridCol w:w="408"/>
        <w:gridCol w:w="496"/>
        <w:gridCol w:w="564"/>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8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序号</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环节名称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提报材料及要求（审查标准）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（环节描述）</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办理说明（环节结果）</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办理时限</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办理处（室）</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12"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受理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符合《建设项目安全设施“三同时”监督管理办法》第三章 建设项目安全设施设计-审查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网上预受理、受理，或窗口受理。材料预审、在线咨询、网上查询、网上申报。</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一.申请事项不在受理范围之内的：网上告知或窗口当场告知不予预受理的理由。</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1个工作日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行政审批管理处</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窗口工作人员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18"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审查</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符合《建设项目安全设施“三同时”监督管理办法》第三章 建设项目安全设施设计审查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受理之日起应当组织对企业提交的申请文件、资料进行审查。对企业提交的文件、资料实质内容存在疑问，需要到现场核查的，应当指派工作人员就有关内容进行现场核查。工作人员应当如实提出现场核查意见。 2.审查过程中的现场核查所需时间不计算在本条规定的期限内。</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2.建设项目安全设施设计有下列情形之一的，不予批准，并不得开工建设：①无建设项目审批、核准或者备案文件的；②未委托具有相应资质的设计单位进行设计的；③设计内容不符合有关安全生产的法律、法规、规章和国家标准或者行业标准、技术规范的规定的；④未采纳安全预评价报告中的安全对策和建议，且未作充分论证说明的。</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3.组织召开处务会议；拟稿批准文件，报厅分管领导审批。</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15工作日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非煤矿山监管处</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石秋明</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8"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决定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符合《建设项目安全设施“三同时”监督管理办法》第三章 建设项目安全设施设计审查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签发文件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1.符合规定的，分管厅领导签发批准文件，网上提交“同意”意见。2.不符合规定，分管厅领导签发不予批准文件，网上提交“不同意”意见。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5工作日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厅领导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郭虎银</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4"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原安全监管总局执法手册第七章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送达公告，整理归档。</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一.送达公告：将办结情况网上和短信通知申请人；送达批复或不予批复通知书；办结之日起5个工作日内在信用山西、企业信用信息和厅门户网站公告。</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二.整理归档：将申报材料、批准文件（或批复）和送达回执单等纸质书面材料送处档案室归档，档案交接手续齐全。</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5个工作日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行政审批管理处</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bl>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237"/>
        <w:gridCol w:w="3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问题</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需要提交刻有所有材料电子版的光盘一份。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9"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设计单位的设计资质证明文件附在设计专篇中可以吗</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可以。但作为申请材料要件，需要另附一份。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9"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申请材料是否提交合订本？</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依据行政许可档案管理规定，需要分件装订，不要合订本。</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28"/>
          <w:szCs w:val="28"/>
        </w:rPr>
      </w:pPr>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5F5450"/>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005E5"/>
    <w:rsid w:val="5D416066"/>
    <w:rsid w:val="5DD02617"/>
    <w:rsid w:val="5E3E025E"/>
    <w:rsid w:val="5FBA33D4"/>
    <w:rsid w:val="61184820"/>
    <w:rsid w:val="61EC36FF"/>
    <w:rsid w:val="62305EF1"/>
    <w:rsid w:val="64F973F1"/>
    <w:rsid w:val="65466D48"/>
    <w:rsid w:val="65BD4A96"/>
    <w:rsid w:val="66E00750"/>
    <w:rsid w:val="66F249AC"/>
    <w:rsid w:val="67C92084"/>
    <w:rsid w:val="6A83417D"/>
    <w:rsid w:val="6BA335E4"/>
    <w:rsid w:val="6CAA3A48"/>
    <w:rsid w:val="6E350EB2"/>
    <w:rsid w:val="70811AF7"/>
    <w:rsid w:val="70F30658"/>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