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61" w:afterLines="50" w:line="400" w:lineRule="exact"/>
        <w:ind w:left="0" w:leftChars="0" w:right="0" w:rightChars="0" w:firstLine="0" w:firstLineChars="0"/>
        <w:jc w:val="center"/>
        <w:textAlignment w:val="auto"/>
        <w:outlineLvl w:val="9"/>
        <w:rPr>
          <w:rStyle w:val="7"/>
          <w:rFonts w:hint="eastAsia" w:ascii="方正粗黑宋简体" w:hAnsi="方正粗黑宋简体" w:eastAsia="方正粗黑宋简体" w:cs="方正粗黑宋简体"/>
          <w:b/>
          <w:bCs/>
          <w:sz w:val="32"/>
          <w:szCs w:val="32"/>
          <w:lang w:val="en-US" w:eastAsia="zh-CN" w:bidi="ar"/>
        </w:rPr>
      </w:pPr>
      <w:r>
        <w:rPr>
          <w:rStyle w:val="7"/>
          <w:rFonts w:hint="eastAsia" w:ascii="方正粗黑宋简体" w:hAnsi="方正粗黑宋简体" w:eastAsia="方正粗黑宋简体" w:cs="方正粗黑宋简体"/>
          <w:b/>
          <w:bCs/>
          <w:sz w:val="32"/>
          <w:szCs w:val="32"/>
          <w:lang w:val="en-US" w:eastAsia="zh-CN" w:bidi="ar"/>
        </w:rPr>
        <w:t>危险化学品生产、储存建设项目</w:t>
      </w:r>
    </w:p>
    <w:p>
      <w:pPr>
        <w:keepNext w:val="0"/>
        <w:keepLines w:val="0"/>
        <w:pageBreakBefore w:val="0"/>
        <w:widowControl w:val="0"/>
        <w:kinsoku/>
        <w:wordWrap/>
        <w:overflowPunct/>
        <w:topLinePunct w:val="0"/>
        <w:autoSpaceDE/>
        <w:autoSpaceDN/>
        <w:bidi w:val="0"/>
        <w:adjustRightInd/>
        <w:snapToGrid/>
        <w:spacing w:after="161" w:afterLines="50" w:line="400" w:lineRule="exact"/>
        <w:ind w:left="0" w:leftChars="0" w:right="0" w:rightChars="0" w:firstLine="0" w:firstLineChars="0"/>
        <w:jc w:val="center"/>
        <w:textAlignment w:val="auto"/>
        <w:outlineLvl w:val="9"/>
        <w:rPr>
          <w:rFonts w:hint="eastAsia" w:ascii="方正粗黑宋简体" w:hAnsi="方正粗黑宋简体" w:eastAsia="方正粗黑宋简体" w:cs="方正粗黑宋简体"/>
          <w:b/>
          <w:bCs/>
          <w:sz w:val="32"/>
          <w:szCs w:val="32"/>
        </w:rPr>
      </w:pPr>
      <w:bookmarkStart w:id="0" w:name="_GoBack"/>
      <w:bookmarkEnd w:id="0"/>
      <w:r>
        <w:rPr>
          <w:rStyle w:val="7"/>
          <w:rFonts w:hint="eastAsia" w:ascii="方正粗黑宋简体" w:hAnsi="方正粗黑宋简体" w:eastAsia="方正粗黑宋简体" w:cs="方正粗黑宋简体"/>
          <w:b/>
          <w:bCs/>
          <w:sz w:val="32"/>
          <w:szCs w:val="32"/>
          <w:lang w:val="en-US" w:eastAsia="zh-CN" w:bidi="ar"/>
        </w:rPr>
        <w:t>安全条件审查</w:t>
      </w:r>
    </w:p>
    <w:p>
      <w:pPr>
        <w:keepNext w:val="0"/>
        <w:keepLines w:val="0"/>
        <w:pageBreakBefore w:val="0"/>
        <w:widowControl w:val="0"/>
        <w:kinsoku/>
        <w:wordWrap/>
        <w:overflowPunct/>
        <w:topLinePunct w:val="0"/>
        <w:autoSpaceDE/>
        <w:autoSpaceDN/>
        <w:bidi w:val="0"/>
        <w:adjustRightInd/>
        <w:snapToGrid/>
        <w:spacing w:after="161" w:afterLines="50" w:line="4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t>基本信息</w:t>
      </w:r>
    </w:p>
    <w:tbl>
      <w:tblPr>
        <w:tblStyle w:val="5"/>
        <w:tblW w:w="7223"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25"/>
        <w:gridCol w:w="1134"/>
        <w:gridCol w:w="2336"/>
        <w:gridCol w:w="2568"/>
        <w:gridCol w:w="7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3"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Style w:val="7"/>
                <w:rFonts w:hint="eastAsia" w:ascii="宋体" w:hAnsi="宋体" w:eastAsia="宋体" w:cs="宋体"/>
                <w:b/>
                <w:bCs/>
                <w:sz w:val="15"/>
                <w:szCs w:val="15"/>
                <w:lang w:val="en-US" w:eastAsia="zh-CN" w:bidi="ar"/>
              </w:rPr>
            </w:pPr>
            <w:r>
              <w:rPr>
                <w:rStyle w:val="7"/>
                <w:rFonts w:hint="eastAsia" w:ascii="宋体" w:hAnsi="宋体" w:eastAsia="宋体" w:cs="宋体"/>
                <w:b/>
                <w:bCs/>
                <w:sz w:val="15"/>
                <w:szCs w:val="15"/>
                <w:lang w:val="en-US" w:eastAsia="zh-CN" w:bidi="ar"/>
              </w:rPr>
              <w:t>序号</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Style w:val="7"/>
                <w:rFonts w:hint="eastAsia" w:ascii="宋体" w:hAnsi="宋体" w:eastAsia="宋体" w:cs="宋体"/>
                <w:b/>
                <w:bCs/>
                <w:sz w:val="15"/>
                <w:szCs w:val="15"/>
                <w:lang w:val="en-US" w:eastAsia="zh-CN" w:bidi="ar"/>
              </w:rPr>
            </w:pPr>
            <w:r>
              <w:rPr>
                <w:rStyle w:val="7"/>
                <w:rFonts w:hint="eastAsia" w:ascii="宋体" w:hAnsi="宋体" w:eastAsia="宋体" w:cs="宋体"/>
                <w:b/>
                <w:bCs/>
                <w:sz w:val="15"/>
                <w:szCs w:val="15"/>
                <w:lang w:val="en-US" w:eastAsia="zh-CN" w:bidi="ar"/>
              </w:rPr>
              <w:t>要素名称</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Style w:val="7"/>
                <w:rFonts w:hint="eastAsia" w:ascii="宋体" w:hAnsi="宋体" w:eastAsia="宋体" w:cs="宋体"/>
                <w:b/>
                <w:bCs/>
                <w:sz w:val="15"/>
                <w:szCs w:val="15"/>
                <w:lang w:val="en-US" w:eastAsia="zh-CN" w:bidi="ar"/>
              </w:rPr>
            </w:pPr>
            <w:r>
              <w:rPr>
                <w:rStyle w:val="7"/>
                <w:rFonts w:hint="eastAsia" w:ascii="宋体" w:hAnsi="宋体" w:eastAsia="宋体" w:cs="宋体"/>
                <w:b/>
                <w:bCs/>
                <w:sz w:val="15"/>
                <w:szCs w:val="15"/>
                <w:lang w:val="en-US" w:eastAsia="zh-CN" w:bidi="ar"/>
              </w:rPr>
              <w:t>要素内容</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Style w:val="7"/>
                <w:rFonts w:hint="eastAsia" w:ascii="宋体" w:hAnsi="宋体" w:eastAsia="宋体" w:cs="宋体"/>
                <w:b/>
                <w:bCs/>
                <w:sz w:val="15"/>
                <w:szCs w:val="15"/>
                <w:lang w:val="en-US" w:eastAsia="zh-CN" w:bidi="ar"/>
              </w:rPr>
            </w:pPr>
            <w:r>
              <w:rPr>
                <w:rStyle w:val="7"/>
                <w:rFonts w:hint="eastAsia" w:ascii="宋体" w:hAnsi="宋体" w:eastAsia="宋体" w:cs="宋体"/>
                <w:b/>
                <w:bCs/>
                <w:sz w:val="15"/>
                <w:szCs w:val="15"/>
                <w:lang w:val="en-US" w:eastAsia="zh-CN" w:bidi="ar"/>
              </w:rPr>
              <w:t>内容说明</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Style w:val="7"/>
                <w:rFonts w:hint="eastAsia" w:ascii="宋体" w:hAnsi="宋体" w:eastAsia="宋体" w:cs="宋体"/>
                <w:b/>
                <w:bCs/>
                <w:sz w:val="15"/>
                <w:szCs w:val="15"/>
                <w:lang w:val="en-US" w:eastAsia="zh-CN" w:bidi="ar"/>
              </w:rPr>
            </w:pPr>
            <w:r>
              <w:rPr>
                <w:rStyle w:val="7"/>
                <w:rFonts w:hint="eastAsia" w:ascii="宋体" w:hAnsi="宋体" w:eastAsia="宋体" w:cs="宋体"/>
                <w:b/>
                <w:bCs/>
                <w:sz w:val="15"/>
                <w:szCs w:val="15"/>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事项名称</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危险化学品生产、储存建设项目安全条件审查</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根据省政府部门权力清单填写</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8"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2</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子项名称</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无</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有子项的填写子项</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7"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事项编码</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000125039000</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根据省政府部门权力清单填写</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2"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4</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事项类型</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行政许可</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行政许可/行政征收/行政给付/行政确认/其他事项</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2"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5</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事项来源</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法定本级行使</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法定本级行使/下放本级行使/委托本级行使</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2"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6</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行使层级</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（可多选）</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省级</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国家级、省级、市级、县级、乡级、村级</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2"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7</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实施机构</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山西省应急管理厅</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办理具体政务服务事项的机构名称</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2"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8</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办件类型</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承诺件</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承诺件/即办件/上报件/联报件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2"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9</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服务对象</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法人</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自然人/法人（行政机关、事业单位、企业、其他组织等）</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2"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法定时限</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50个工作日（审查、决定45个自然日按35个工作日计算。受理、送达15个工作日）</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某一政务服务事项法规条款明确的具体办结时限（工作日/自然日）</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11</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承诺时限</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41个工作日</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对外承诺办结时限（工作日/自然日）</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2"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12</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时限依据</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《安全生产许可证条例》（国务院令第397号）第七条；《危险化学品建设项目安全监督管理办法》（原国家安全生产监督管理总局令第45号 2015年5月27日修订）第十二条</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法律法规名称、对应条款描述</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2"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13</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数量限制</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无</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没有数量限制的填写无限制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6"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14</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收费方式</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不收费</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不收费/窗口收费/已实现网上缴费/计划增加网上缴费方式</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15</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收费标准</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无</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物价部门核定的标准</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7"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16</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收费依据</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无</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政府部门正式批文</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7"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17</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结果名称</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危险化学品生产、储存建设项目安全条件审查意见书</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由法规制定的规范命名</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51"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18</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结果样本</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危险化学品生产、储存建设项目安全条件审查意见书</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证照、批文采用安全通用的文件格式，图片清晰美观，图片中涉及企业、个人信息须隐藏（作为附件）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9"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19</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受理条件及依据</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符合《危险化学品建设项目安全监督管理办法》（原国家安全生产监督管理总局令第45号）第二章</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逐条填写受理条件及相关对应法律条文</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2"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20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是否在本级政务服务中心业务系统统一审批办理</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使用大厅统一审批系统</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使用大厅统一审批系统/上级部门统建审批系统/本级自建审批系统/未实行网上审批办理</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2"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21</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办理形式</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（可多选）</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实体大厅窗口办理、材料预审、在线咨询、网上查询、网上受理。</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实体大厅窗口办理、网上预约、材料预审、网上申报、在线咨询、网上缴费、网上查询</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2"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22</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承诺到现场窗口最多次数（不计邮递结果）</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0-1次</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无法承诺/1次/2次/3次</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2"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23</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办理结果获取方式（可多选）</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窗口领取、邮递办理结果</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窗口领取、邮递办理结果、无需取件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27"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24</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通办范围</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全省</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全省/跨市/跨县（区）</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2"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25</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物流快递</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顺丰、邮政</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是否支持办理结果邮递，如果支持填写物流快递合作商</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9"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26</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联办机构</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无</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同一事项有两个以上实施机构</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4"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27</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中介服务</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安全评价机构</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法定涉及的中介服务，中介名称</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7"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28</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办理地点</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山西省政务服务中心A座一层15号（省应急管理厅）窗口</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具体承办单位所在地点</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2"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29</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办理时间</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 xml:space="preserve">周一至周五（法定节假日除外）：上午9:00-12:00 </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下午:13:00-17:00</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事项可办理的时间</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41"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30</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咨询服务</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窗口咨询、电话咨询、电子邮件咨询、网上咨询</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窗口咨询、电话咨询、电子邮件咨询、网上咨询等可提供的咨询方式</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Style w:val="7"/>
                <w:rFonts w:hint="default"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31</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交通指引</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太原市小店区坞城南路50号，乘车路线（79路、836路、</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870路、877路经停，可在省政务中心（大吴村）公交站点上/下车）</w:t>
            </w: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23"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Style w:val="7"/>
                <w:rFonts w:hint="default"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32</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监督投诉</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窗口投诉、电话投诉、网上投诉、电子邮件投诉、信函投诉等渠道（本项内容由政务服务中心统一填写，各厅局单位无需填写）</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77" w:hRule="atLeast"/>
          <w:jc w:val="center"/>
        </w:trPr>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Style w:val="7"/>
                <w:rFonts w:hint="default"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33</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行政复议行政诉讼</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c>
          <w:tcPr>
            <w:tcW w:w="2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r>
              <w:rPr>
                <w:rStyle w:val="7"/>
                <w:rFonts w:hint="eastAsia" w:ascii="宋体" w:hAnsi="宋体" w:eastAsia="宋体" w:cs="宋体"/>
                <w:sz w:val="15"/>
                <w:szCs w:val="15"/>
                <w:lang w:val="en-US" w:eastAsia="zh-CN" w:bidi="ar"/>
              </w:rPr>
              <w:t>可申请行政复议或行政诉讼的部门名称、地点、联系方式等相关信息（本项内容由政务服务中心统一填写，各厅局单位无需填写）</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Style w:val="7"/>
                <w:rFonts w:hint="eastAsia" w:ascii="宋体" w:hAnsi="宋体" w:eastAsia="宋体" w:cs="宋体"/>
                <w:sz w:val="15"/>
                <w:szCs w:val="15"/>
                <w:lang w:val="en-US" w:eastAsia="zh-CN" w:bidi="ar"/>
              </w:rPr>
            </w:pP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br w:type="page"/>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28"/>
          <w:szCs w:val="28"/>
        </w:rPr>
      </w:pPr>
      <w:r>
        <w:rPr>
          <w:rFonts w:hint="eastAsia" w:ascii="方正小标宋简体" w:hAnsi="方正小标宋简体" w:eastAsia="方正小标宋简体" w:cs="方正小标宋简体"/>
          <w:b w:val="0"/>
          <w:bCs w:val="0"/>
          <w:sz w:val="28"/>
          <w:szCs w:val="28"/>
        </w:rPr>
        <w:t>设定依据</w:t>
      </w:r>
    </w:p>
    <w:tbl>
      <w:tblPr>
        <w:tblStyle w:val="5"/>
        <w:tblW w:w="72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420"/>
        <w:gridCol w:w="465"/>
        <w:gridCol w:w="5698"/>
        <w:gridCol w:w="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283" w:hRule="atLeast"/>
          <w:jc w:val="center"/>
        </w:trPr>
        <w:tc>
          <w:tcPr>
            <w:tcW w:w="4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right="0" w:rightChars="0"/>
              <w:jc w:val="center"/>
              <w:textAlignment w:val="center"/>
              <w:outlineLvl w:val="9"/>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序号</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right="0" w:rightChars="0"/>
              <w:jc w:val="center"/>
              <w:textAlignment w:val="center"/>
              <w:outlineLvl w:val="9"/>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项目</w:t>
            </w:r>
          </w:p>
        </w:tc>
        <w:tc>
          <w:tcPr>
            <w:tcW w:w="56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right="0" w:rightChars="0"/>
              <w:jc w:val="center"/>
              <w:textAlignment w:val="center"/>
              <w:outlineLvl w:val="9"/>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详细描述</w:t>
            </w:r>
          </w:p>
        </w:tc>
        <w:tc>
          <w:tcPr>
            <w:tcW w:w="64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right="0" w:rightChars="0"/>
              <w:jc w:val="center"/>
              <w:textAlignment w:val="center"/>
              <w:outlineLvl w:val="9"/>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283" w:hRule="atLeast"/>
          <w:jc w:val="center"/>
        </w:trPr>
        <w:tc>
          <w:tcPr>
            <w:tcW w:w="42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right="0" w:right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right="0" w:right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法定依据</w:t>
            </w:r>
          </w:p>
        </w:tc>
        <w:tc>
          <w:tcPr>
            <w:tcW w:w="56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《中华人民共和国安全生产法》第六十条</w:t>
            </w:r>
          </w:p>
        </w:tc>
        <w:tc>
          <w:tcPr>
            <w:tcW w:w="64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1961" w:hRule="atLeast"/>
          <w:jc w:val="center"/>
        </w:trPr>
        <w:tc>
          <w:tcPr>
            <w:tcW w:w="420"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right="0" w:right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依据描述</w:t>
            </w:r>
          </w:p>
        </w:tc>
        <w:tc>
          <w:tcPr>
            <w:tcW w:w="56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第六十条 负有安全生产监督管理职责的部门依照有关法律、法规的规定，对涉及安全生产的事项需要审查批准（包括批准、核准、许可、注册、认证、颁发证照等，下同）或者验收的，必须严格依照有关法律、法规和国家标准或者行业标准规定的安全生产条件和程序进行审查；不符合有关法律、法规和国家标准或者行业标准规定的安全生产条件的，不得批准或者验收通过。对未依法取得批准或者验收合格的单位擅自从事有关活动的，负责行政审批的部门发现或者接到举报后应当立即予以取缔，并依法予以处理。对已经依法取得批准的单位，负责行政审批的部门发现其不再具备安全生产条件的，应当撤销原批准。</w:t>
            </w:r>
          </w:p>
        </w:tc>
        <w:tc>
          <w:tcPr>
            <w:tcW w:w="64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283" w:hRule="atLeast"/>
          <w:jc w:val="center"/>
        </w:trPr>
        <w:tc>
          <w:tcPr>
            <w:tcW w:w="42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right="0" w:right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2</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right="0" w:right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法定依据</w:t>
            </w:r>
          </w:p>
        </w:tc>
        <w:tc>
          <w:tcPr>
            <w:tcW w:w="56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《危险化学品安全管理条例》（国务院令第591号）第六条 </w:t>
            </w:r>
          </w:p>
        </w:tc>
        <w:tc>
          <w:tcPr>
            <w:tcW w:w="64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6451" w:hRule="atLeast"/>
          <w:jc w:val="center"/>
        </w:trPr>
        <w:tc>
          <w:tcPr>
            <w:tcW w:w="420"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right="0" w:right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依据描述</w:t>
            </w:r>
          </w:p>
        </w:tc>
        <w:tc>
          <w:tcPr>
            <w:tcW w:w="56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第六条　对危险化学品的生产、储存、使用、经营、运输实施安全监督管理的有关部门（以下统称负有危险化学品安全监督管理职责的部门），依照下列规定履行职责：</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一）安全生产监督管理部门负责危险化学品安全监督管理综合工作，组织确定、公布、调整危险化学品目录，对新建、改建、扩建生产、储存危险化学品（包括使用长输管道输送危险化学品，下同）的建设项目进行安全条件审查，核发危险化学品安全生产许可证、危险化学品安全使用许可证和危险化学品经营许可证，并负责危险化学品登记工作。</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（二）公安机关负责危险化学品的公共安全管理，核发剧毒化学品购买许可证、剧毒化学品道路运输通行证，并负责危险化学品运输车辆的道路交通安全管理。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三）质量监督检验检疫部门负责核发危险化学品及其包装物、容器（不包括储存危险化学品的固定式大型储罐，下同）生产企业的工业产品生产许可证，并依法对其产品质量实施监督，负责对进出口危险化学品及其包装实施检验。</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四）环境保护主管部门负责废弃危险化学品处置的监督管理，组织危险化学品的环境危害性鉴定和环境风险程度评估，确定实施重点环境管理的危险化学品，负责危险化学品环境管理登记和新化学物质环境管理登记；依照职责分工调查相关危险化学品环境污染事故和生态破坏事件，负责危险化学品事故现场的应急环境监测。</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五）交通运输主管部门负责危险化学品道路运输、水路运输的许可以及运输工具的安全管理，对危险化学品水路运输安全实施监督，负责危险化学品道路运输企业、水路运输企业驾驶人员、船员、装卸管理人员、押运人员、申报人员、集装箱装箱现场检查员的资格认定。铁路主管部门负责危险化学品铁路运输的安全管理，负责危险化学品铁路运输承运人、托运人的资质审批及其运输工具的安全管理。民用航空主管部门负责危险化学品航空运输以及航空运输企业及其运输工具的安全管理。</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（六）卫生主管部门负责危险化学品毒性鉴定的管理，负责组织、协调危险化学品事故受伤人员的医疗卫生救援工作。</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（七）工商行政管理部门依据有关部门的许可证件，核发危险化学品生产、储存、经营、运输企业营业执照，查处危险化学品经营企业违法采购危险化学品的行为。</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（八）邮政管理部门负责依法查处寄递危险化学品的行为。</w:t>
            </w:r>
          </w:p>
        </w:tc>
        <w:tc>
          <w:tcPr>
            <w:tcW w:w="64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283" w:hRule="atLeast"/>
          <w:jc w:val="center"/>
        </w:trPr>
        <w:tc>
          <w:tcPr>
            <w:tcW w:w="42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right="0" w:right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3</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right="0" w:right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法定依据</w:t>
            </w:r>
          </w:p>
        </w:tc>
        <w:tc>
          <w:tcPr>
            <w:tcW w:w="56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《危险化学品安全管理条例》（国务院令第591号）第十二条</w:t>
            </w:r>
          </w:p>
        </w:tc>
        <w:tc>
          <w:tcPr>
            <w:tcW w:w="64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2717" w:hRule="atLeast"/>
          <w:jc w:val="center"/>
        </w:trPr>
        <w:tc>
          <w:tcPr>
            <w:tcW w:w="420"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right="0" w:rightChars="0"/>
              <w:jc w:val="center"/>
              <w:textAlignment w:val="center"/>
              <w:outlineLvl w:val="9"/>
              <w:rPr>
                <w:rFonts w:hint="eastAsia" w:ascii="宋体" w:hAnsi="宋体" w:eastAsia="宋体" w:cs="宋体"/>
                <w:i w:val="0"/>
                <w:color w:val="000000"/>
                <w:kern w:val="0"/>
                <w:sz w:val="15"/>
                <w:szCs w:val="15"/>
                <w:u w:val="none"/>
                <w:lang w:val="en-US" w:eastAsia="zh-CN" w:bidi="ar"/>
              </w:rPr>
            </w:pP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right="0" w:right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依据描述</w:t>
            </w:r>
          </w:p>
        </w:tc>
        <w:tc>
          <w:tcPr>
            <w:tcW w:w="56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第十二条　新建、改建、扩建生产、储存危险化学品的建设项目（以下简称建设项目），应当由安全生产监督管理部门进行安全条件审查。</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建设单位应当对建设项目进行安全条件论证，委托具备国家规定的资质条件的机构对建设项目进行安全评价，并将安全条件论证和安全评价的情况报告报建设项目所在地设区的市级以上人民政府安全生产监督管理部门；安全生产监督管理部门应当自收到报告之日起45日内作出审查决定，并书面通知建设单位。具体办法由国务院安全生产监督管理部门制定。</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新建、改建、扩建储存、装卸危险化学品的港口建设项目，由港口行政管理部门按照国务院交通运输主管部门的规定进行安全条件审查。</w:t>
            </w:r>
          </w:p>
        </w:tc>
        <w:tc>
          <w:tcPr>
            <w:tcW w:w="64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732" w:hRule="atLeast"/>
          <w:jc w:val="center"/>
        </w:trPr>
        <w:tc>
          <w:tcPr>
            <w:tcW w:w="42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right="0" w:right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4</w:t>
            </w: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right="0" w:right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法定依据</w:t>
            </w:r>
          </w:p>
        </w:tc>
        <w:tc>
          <w:tcPr>
            <w:tcW w:w="56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《危险化学品建设项目安全监督管理办法》（原国家安全生产监督管理总局令第45号）第二章</w:t>
            </w:r>
          </w:p>
        </w:tc>
        <w:tc>
          <w:tcPr>
            <w:tcW w:w="64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5977" w:hRule="atLeast"/>
          <w:jc w:val="center"/>
        </w:trPr>
        <w:tc>
          <w:tcPr>
            <w:tcW w:w="420"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right="0" w:rightChars="0"/>
              <w:jc w:val="center"/>
              <w:textAlignment w:val="center"/>
              <w:outlineLvl w:val="9"/>
              <w:rPr>
                <w:rFonts w:hint="eastAsia" w:ascii="宋体" w:hAnsi="宋体" w:eastAsia="宋体" w:cs="宋体"/>
                <w:i w:val="0"/>
                <w:color w:val="000000"/>
                <w:kern w:val="0"/>
                <w:sz w:val="15"/>
                <w:szCs w:val="15"/>
                <w:u w:val="none"/>
                <w:lang w:val="en-US" w:eastAsia="zh-CN" w:bidi="ar"/>
              </w:rPr>
            </w:pPr>
          </w:p>
        </w:tc>
        <w:tc>
          <w:tcPr>
            <w:tcW w:w="4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right="0" w:right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依据描述</w:t>
            </w:r>
          </w:p>
        </w:tc>
        <w:tc>
          <w:tcPr>
            <w:tcW w:w="56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第八条 建设单位应当在建设项目的可行性研究阶段，委托具备相应资质的安全评价机构对建设项目进行安全评价。</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安全评价机构应当根据有关安全生产法律、法规、规章和国家标准、行业标准，对建设项目进行安全评价，出具建设项目安全评价报告。安全评价报告应当符合《危险化学品建设项目安全评价细则》的要求。</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第九条 建设项目有下列情形之一的，应当由甲级安全评价机构进行安全评价：</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（一）国务院及其投资主管部门审批（核准、备案）的；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（二）生产剧毒化学品的；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（三）跨省、自治区、直辖市的；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（四）法律、法规、规章另有规定的。</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第十条 建设单位应当在建设项目开始初步设计前，向与本办法第四条、第五条规定相应的安全生产监督管理部门申请建设项目安全条件审查，提交下列文件、资料，并对其真实性负责：</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（一）建设项目安全条件审查申请书及文件；</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（二）建设项目安全评价报告；</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（三）建设项目批准、核准或者备案文件和规划相关文件（复制件）；</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（四）工商行政管理部门颁发的企业营业执照或者企业名称预先核准通知书（复制件）。</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第十一条 建设单位申请安全条件审查的文件、资料齐全，符合法定形式的，安全生产监督管理部门应当当场予以受理，并书面告知建设单位。</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建设单位申请安全条件审查的文件、资料不齐全或者不符合法定形式的，安全生产监督管理部门应当自收到申请文件、资料之日起五个工作日内一次性书面告知建设单位需要补正的全部内容；逾期不告知的，收到申请文件、资料之日起即为受理。</w:t>
            </w:r>
          </w:p>
        </w:tc>
        <w:tc>
          <w:tcPr>
            <w:tcW w:w="64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p>
        </w:tc>
      </w:tr>
    </w:tbl>
    <w:p>
      <w:pPr>
        <w:keepNext w:val="0"/>
        <w:keepLines w:val="0"/>
        <w:pageBreakBefore w:val="0"/>
        <w:widowControl w:val="0"/>
        <w:kinsoku/>
        <w:wordWrap/>
        <w:overflowPunct/>
        <w:topLinePunct w:val="0"/>
        <w:autoSpaceDE/>
        <w:autoSpaceDN/>
        <w:bidi w:val="0"/>
        <w:adjustRightInd/>
        <w:snapToGrid/>
        <w:spacing w:after="161" w:afterLines="50" w:line="4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br w:type="page"/>
      </w:r>
    </w:p>
    <w:p>
      <w:pPr>
        <w:keepNext w:val="0"/>
        <w:keepLines w:val="0"/>
        <w:pageBreakBefore w:val="0"/>
        <w:widowControl w:val="0"/>
        <w:kinsoku/>
        <w:wordWrap/>
        <w:overflowPunct/>
        <w:topLinePunct w:val="0"/>
        <w:autoSpaceDE/>
        <w:autoSpaceDN/>
        <w:bidi w:val="0"/>
        <w:adjustRightInd/>
        <w:snapToGrid/>
        <w:spacing w:after="161" w:afterLines="50" w:line="4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t>申报材料</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方正小标宋简体" w:hAnsi="方正小标宋简体" w:eastAsia="方正小标宋简体" w:cs="方正小标宋简体"/>
          <w:sz w:val="28"/>
          <w:szCs w:val="28"/>
        </w:rPr>
      </w:pPr>
      <w:r>
        <w:rPr>
          <w:rFonts w:hint="eastAsia" w:ascii="宋体" w:hAnsi="宋体" w:eastAsia="宋体" w:cs="宋体"/>
          <w:b w:val="0"/>
          <w:bCs/>
          <w:i w:val="0"/>
          <w:color w:val="000000"/>
          <w:kern w:val="0"/>
          <w:sz w:val="21"/>
          <w:szCs w:val="21"/>
          <w:u w:val="none"/>
          <w:lang w:val="en-US" w:eastAsia="zh-CN" w:bidi="ar"/>
        </w:rPr>
        <w:t>危险化学品生产、储存建设项目安全条件审查</w:t>
      </w:r>
    </w:p>
    <w:tbl>
      <w:tblPr>
        <w:tblStyle w:val="5"/>
        <w:tblW w:w="723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56"/>
        <w:gridCol w:w="1546"/>
        <w:gridCol w:w="542"/>
        <w:gridCol w:w="347"/>
        <w:gridCol w:w="681"/>
        <w:gridCol w:w="1189"/>
        <w:gridCol w:w="1112"/>
        <w:gridCol w:w="14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83"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序号</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材料名称</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原件/复印件</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份数</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材料类型</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要求</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材料来源</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法定依据及描述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14"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建设项目安全条件审查申请书及申请文件</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原件</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材料样本</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填写齐全，法定代表人签字。</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申请人自行填写</w:t>
            </w:r>
          </w:p>
        </w:tc>
        <w:tc>
          <w:tcPr>
            <w:tcW w:w="14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《危险化学品建设项目监督管理办法》（原国家安全生产监督管理总局令第45号）第十条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62" w:hRule="atLeast"/>
          <w:jc w:val="center"/>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建设项目安全评价报告</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复印件</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固定</w:t>
            </w:r>
          </w:p>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格式</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评价报告合订本或分订本</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中介机构编制</w:t>
            </w: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64" w:hRule="atLeast"/>
          <w:jc w:val="center"/>
        </w:trPr>
        <w:tc>
          <w:tcPr>
            <w:tcW w:w="723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注：1.此表适用于危险化学品生产、储存建设项目安全条件审查，将以上资料PDF格式上传云平台，并分别提交书面材料（加盖公章）各一份和光盘一份。</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2.建设单位应当在建设项目的可行性研究阶段，委托具备相应资质的安全评价机构对建设项目进行安全评价。</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3.建设项目的设计、施工、监理单位和安全评价机构应当具备相应的资质，并对其工作成果负责。</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4.生产经营单位对提交的申请材料真实性负责。</w:t>
            </w:r>
          </w:p>
        </w:tc>
      </w:tr>
    </w:tbl>
    <w:p>
      <w:pPr>
        <w:keepNext w:val="0"/>
        <w:keepLines w:val="0"/>
        <w:pageBreakBefore w:val="0"/>
        <w:widowControl w:val="0"/>
        <w:kinsoku/>
        <w:wordWrap/>
        <w:overflowPunct/>
        <w:topLinePunct w:val="0"/>
        <w:autoSpaceDE/>
        <w:autoSpaceDN/>
        <w:bidi w:val="0"/>
        <w:adjustRightInd/>
        <w:snapToGrid/>
        <w:spacing w:after="161" w:afterLines="50" w:line="4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28"/>
          <w:szCs w:val="28"/>
        </w:rPr>
      </w:pPr>
    </w:p>
    <w:p>
      <w:pPr>
        <w:keepNext w:val="0"/>
        <w:keepLines w:val="0"/>
        <w:pageBreakBefore w:val="0"/>
        <w:widowControl w:val="0"/>
        <w:kinsoku/>
        <w:wordWrap/>
        <w:overflowPunct/>
        <w:topLinePunct w:val="0"/>
        <w:autoSpaceDE/>
        <w:autoSpaceDN/>
        <w:bidi w:val="0"/>
        <w:adjustRightInd/>
        <w:snapToGrid/>
        <w:spacing w:after="161" w:afterLines="50" w:line="4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28"/>
          <w:szCs w:val="28"/>
        </w:rPr>
      </w:pPr>
    </w:p>
    <w:p>
      <w:pPr>
        <w:keepNext w:val="0"/>
        <w:keepLines w:val="0"/>
        <w:pageBreakBefore w:val="0"/>
        <w:widowControl w:val="0"/>
        <w:kinsoku/>
        <w:wordWrap/>
        <w:overflowPunct/>
        <w:topLinePunct w:val="0"/>
        <w:autoSpaceDE/>
        <w:autoSpaceDN/>
        <w:bidi w:val="0"/>
        <w:adjustRightInd/>
        <w:snapToGrid/>
        <w:spacing w:after="161" w:afterLines="50" w:line="4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28"/>
          <w:szCs w:val="28"/>
        </w:rPr>
      </w:pPr>
    </w:p>
    <w:p>
      <w:pPr>
        <w:keepNext w:val="0"/>
        <w:keepLines w:val="0"/>
        <w:pageBreakBefore w:val="0"/>
        <w:widowControl w:val="0"/>
        <w:kinsoku/>
        <w:wordWrap/>
        <w:overflowPunct/>
        <w:topLinePunct w:val="0"/>
        <w:autoSpaceDE/>
        <w:autoSpaceDN/>
        <w:bidi w:val="0"/>
        <w:adjustRightInd/>
        <w:snapToGrid/>
        <w:spacing w:after="161" w:afterLines="50" w:line="4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28"/>
          <w:szCs w:val="28"/>
        </w:rPr>
      </w:pPr>
    </w:p>
    <w:p>
      <w:pPr>
        <w:keepNext w:val="0"/>
        <w:keepLines w:val="0"/>
        <w:pageBreakBefore w:val="0"/>
        <w:widowControl w:val="0"/>
        <w:kinsoku/>
        <w:wordWrap/>
        <w:overflowPunct/>
        <w:topLinePunct w:val="0"/>
        <w:autoSpaceDE/>
        <w:autoSpaceDN/>
        <w:bidi w:val="0"/>
        <w:adjustRightInd/>
        <w:snapToGrid/>
        <w:spacing w:after="161" w:afterLines="50" w:line="4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28"/>
          <w:szCs w:val="28"/>
        </w:rPr>
      </w:pPr>
    </w:p>
    <w:p>
      <w:pPr>
        <w:keepNext w:val="0"/>
        <w:keepLines w:val="0"/>
        <w:pageBreakBefore w:val="0"/>
        <w:widowControl w:val="0"/>
        <w:kinsoku/>
        <w:wordWrap/>
        <w:overflowPunct/>
        <w:topLinePunct w:val="0"/>
        <w:autoSpaceDE/>
        <w:autoSpaceDN/>
        <w:bidi w:val="0"/>
        <w:adjustRightInd/>
        <w:snapToGrid/>
        <w:spacing w:after="161" w:afterLines="50" w:line="4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t>特殊环节</w:t>
      </w:r>
    </w:p>
    <w:tbl>
      <w:tblPr>
        <w:tblStyle w:val="5"/>
        <w:tblW w:w="723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01"/>
        <w:gridCol w:w="1219"/>
        <w:gridCol w:w="4575"/>
        <w:gridCol w:w="8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55" w:hRule="atLeast"/>
          <w:jc w:val="center"/>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序号</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项目</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详细描述</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25" w:hRule="atLeast"/>
          <w:jc w:val="center"/>
        </w:trPr>
        <w:tc>
          <w:tcPr>
            <w:tcW w:w="6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环节名称</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建设单位整改</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jc w:val="both"/>
              <w:outlineLvl w:val="9"/>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51" w:hRule="atLeast"/>
          <w:jc w:val="center"/>
        </w:trPr>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法定依据</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《危险化学品建设项目安全监督管理办法》（原安监总局令第45号）第十二条 对已经受理的建设项目安全条件审查申请，安全生产监督管理部门应当指派有关人员或者组织专家对申请文件、资料进行审查，并自受理申请之日起四十五日内向建设单位出具建设项目安全条件审查意见书。建设项目安全条件审查意见书的有效期为两年。</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根据法定条件和程序，需要对申请文件、资料的实质内容进行核实的，安全生产监督管理部门应当指派两名以上工作人员对建设项目进行现场核查。</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 xml:space="preserve">    建设单位整改现场核查发现的有关问题和修改申请文件、资料所需时间不计算在本条规定的期限内。</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jc w:val="both"/>
              <w:outlineLvl w:val="9"/>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6" w:hRule="atLeast"/>
          <w:jc w:val="center"/>
        </w:trPr>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完成时限</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建设单位自行决定。</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jc w:val="both"/>
              <w:outlineLvl w:val="9"/>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1" w:hRule="atLeast"/>
          <w:jc w:val="center"/>
        </w:trPr>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是否收费</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不收费</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jc w:val="both"/>
              <w:outlineLvl w:val="9"/>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1" w:hRule="atLeast"/>
          <w:jc w:val="center"/>
        </w:trPr>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收费依据及标准</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300" w:firstLineChars="20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不收费</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00" w:lineRule="exact"/>
              <w:ind w:left="0" w:leftChars="0" w:right="0" w:rightChars="0" w:firstLine="0" w:firstLineChars="0"/>
              <w:jc w:val="both"/>
              <w:outlineLvl w:val="9"/>
              <w:rPr>
                <w:rFonts w:hint="eastAsia" w:ascii="宋体" w:hAnsi="宋体" w:eastAsia="宋体" w:cs="宋体"/>
                <w:i w:val="0"/>
                <w:color w:val="000000"/>
                <w:sz w:val="15"/>
                <w:szCs w:val="15"/>
                <w:u w:val="none"/>
              </w:rPr>
            </w:pPr>
          </w:p>
        </w:tc>
      </w:tr>
    </w:tbl>
    <w:p>
      <w:pPr>
        <w:keepNext w:val="0"/>
        <w:keepLines w:val="0"/>
        <w:pageBreakBefore w:val="0"/>
        <w:widowControl w:val="0"/>
        <w:kinsoku/>
        <w:wordWrap/>
        <w:overflowPunct/>
        <w:topLinePunct w:val="0"/>
        <w:autoSpaceDE/>
        <w:autoSpaceDN/>
        <w:bidi w:val="0"/>
        <w:adjustRightInd/>
        <w:snapToGrid/>
        <w:spacing w:after="161" w:afterLines="50" w:line="4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br w:type="page"/>
      </w:r>
    </w:p>
    <w:p>
      <w:pPr>
        <w:keepNext w:val="0"/>
        <w:keepLines w:val="0"/>
        <w:pageBreakBefore w:val="0"/>
        <w:widowControl w:val="0"/>
        <w:kinsoku/>
        <w:wordWrap/>
        <w:overflowPunct/>
        <w:topLinePunct w:val="0"/>
        <w:autoSpaceDE/>
        <w:autoSpaceDN/>
        <w:bidi w:val="0"/>
        <w:adjustRightInd/>
        <w:snapToGrid/>
        <w:spacing w:after="161" w:afterLines="50" w:line="4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t>办理流程及环节说明</w:t>
      </w:r>
    </w:p>
    <w:tbl>
      <w:tblPr>
        <w:tblStyle w:val="5"/>
        <w:tblW w:w="7242"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61"/>
        <w:gridCol w:w="369"/>
        <w:gridCol w:w="987"/>
        <w:gridCol w:w="1032"/>
        <w:gridCol w:w="2733"/>
        <w:gridCol w:w="408"/>
        <w:gridCol w:w="556"/>
        <w:gridCol w:w="505"/>
        <w:gridCol w:w="3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0" w:hRule="atLeast"/>
          <w:jc w:val="center"/>
        </w:trPr>
        <w:tc>
          <w:tcPr>
            <w:tcW w:w="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top"/>
              <w:outlineLvl w:val="9"/>
              <w:rPr>
                <w:rFonts w:hint="eastAsia" w:ascii="宋体" w:hAnsi="宋体" w:eastAsia="宋体" w:cs="宋体"/>
                <w:b/>
                <w:bCs/>
                <w:i w:val="0"/>
                <w:color w:val="000000"/>
                <w:spacing w:val="0"/>
                <w:kern w:val="0"/>
                <w:sz w:val="15"/>
                <w:szCs w:val="15"/>
                <w:u w:val="none"/>
                <w:lang w:val="en-US" w:eastAsia="zh-CN" w:bidi="ar"/>
              </w:rPr>
            </w:pPr>
            <w:r>
              <w:rPr>
                <w:rFonts w:hint="eastAsia" w:ascii="宋体" w:hAnsi="宋体" w:eastAsia="宋体" w:cs="宋体"/>
                <w:b/>
                <w:bCs/>
                <w:i w:val="0"/>
                <w:color w:val="000000"/>
                <w:spacing w:val="0"/>
                <w:kern w:val="0"/>
                <w:sz w:val="15"/>
                <w:szCs w:val="15"/>
                <w:u w:val="none"/>
                <w:lang w:val="en-US" w:eastAsia="zh-CN" w:bidi="ar"/>
              </w:rPr>
              <w:t>序号</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top"/>
              <w:outlineLvl w:val="9"/>
              <w:rPr>
                <w:rFonts w:hint="eastAsia" w:ascii="宋体" w:hAnsi="宋体" w:eastAsia="宋体" w:cs="宋体"/>
                <w:b/>
                <w:bCs/>
                <w:i w:val="0"/>
                <w:color w:val="000000"/>
                <w:spacing w:val="0"/>
                <w:kern w:val="0"/>
                <w:sz w:val="15"/>
                <w:szCs w:val="15"/>
                <w:u w:val="none"/>
                <w:lang w:val="en-US" w:eastAsia="zh-CN" w:bidi="ar"/>
              </w:rPr>
            </w:pPr>
            <w:r>
              <w:rPr>
                <w:rFonts w:hint="eastAsia" w:ascii="宋体" w:hAnsi="宋体" w:eastAsia="宋体" w:cs="宋体"/>
                <w:b/>
                <w:bCs/>
                <w:i w:val="0"/>
                <w:color w:val="000000"/>
                <w:spacing w:val="0"/>
                <w:kern w:val="0"/>
                <w:sz w:val="15"/>
                <w:szCs w:val="15"/>
                <w:u w:val="none"/>
                <w:lang w:val="en-US" w:eastAsia="zh-CN" w:bidi="ar"/>
              </w:rPr>
              <w:t>环节名称</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top"/>
              <w:outlineLvl w:val="9"/>
              <w:rPr>
                <w:rFonts w:hint="eastAsia" w:ascii="宋体" w:hAnsi="宋体" w:eastAsia="宋体" w:cs="宋体"/>
                <w:b/>
                <w:bCs/>
                <w:i w:val="0"/>
                <w:color w:val="000000"/>
                <w:spacing w:val="0"/>
                <w:kern w:val="0"/>
                <w:sz w:val="15"/>
                <w:szCs w:val="15"/>
                <w:u w:val="none"/>
                <w:lang w:val="en-US" w:eastAsia="zh-CN" w:bidi="ar"/>
              </w:rPr>
            </w:pPr>
            <w:r>
              <w:rPr>
                <w:rFonts w:hint="eastAsia" w:ascii="宋体" w:hAnsi="宋体" w:eastAsia="宋体" w:cs="宋体"/>
                <w:b/>
                <w:bCs/>
                <w:i w:val="0"/>
                <w:color w:val="000000"/>
                <w:spacing w:val="0"/>
                <w:kern w:val="0"/>
                <w:sz w:val="15"/>
                <w:szCs w:val="15"/>
                <w:u w:val="none"/>
                <w:lang w:val="en-US" w:eastAsia="zh-CN" w:bidi="ar"/>
              </w:rPr>
              <w:t>提报材料及要求（审查标准）</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top"/>
              <w:outlineLvl w:val="9"/>
              <w:rPr>
                <w:rFonts w:hint="eastAsia" w:ascii="宋体" w:hAnsi="宋体" w:eastAsia="宋体" w:cs="宋体"/>
                <w:b/>
                <w:bCs/>
                <w:i w:val="0"/>
                <w:color w:val="000000"/>
                <w:spacing w:val="0"/>
                <w:kern w:val="0"/>
                <w:sz w:val="15"/>
                <w:szCs w:val="15"/>
                <w:u w:val="none"/>
                <w:lang w:val="en-US" w:eastAsia="zh-CN" w:bidi="ar"/>
              </w:rPr>
            </w:pPr>
            <w:r>
              <w:rPr>
                <w:rFonts w:hint="eastAsia" w:ascii="宋体" w:hAnsi="宋体" w:eastAsia="宋体" w:cs="宋体"/>
                <w:b/>
                <w:bCs/>
                <w:i w:val="0"/>
                <w:color w:val="000000"/>
                <w:spacing w:val="0"/>
                <w:kern w:val="0"/>
                <w:sz w:val="15"/>
                <w:szCs w:val="15"/>
                <w:u w:val="none"/>
                <w:lang w:val="en-US" w:eastAsia="zh-CN" w:bidi="ar"/>
              </w:rPr>
              <w:t>办理内容</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top"/>
              <w:outlineLvl w:val="9"/>
              <w:rPr>
                <w:rFonts w:hint="eastAsia" w:ascii="宋体" w:hAnsi="宋体" w:eastAsia="宋体" w:cs="宋体"/>
                <w:b/>
                <w:bCs/>
                <w:i w:val="0"/>
                <w:color w:val="000000"/>
                <w:spacing w:val="0"/>
                <w:kern w:val="0"/>
                <w:sz w:val="15"/>
                <w:szCs w:val="15"/>
                <w:u w:val="none"/>
                <w:lang w:val="en-US" w:eastAsia="zh-CN" w:bidi="ar"/>
              </w:rPr>
            </w:pPr>
            <w:r>
              <w:rPr>
                <w:rFonts w:hint="eastAsia" w:ascii="宋体" w:hAnsi="宋体" w:eastAsia="宋体" w:cs="宋体"/>
                <w:b/>
                <w:bCs/>
                <w:i w:val="0"/>
                <w:color w:val="000000"/>
                <w:spacing w:val="0"/>
                <w:kern w:val="0"/>
                <w:sz w:val="15"/>
                <w:szCs w:val="15"/>
                <w:u w:val="none"/>
                <w:lang w:val="en-US" w:eastAsia="zh-CN" w:bidi="ar"/>
              </w:rPr>
              <w:t>（环节描述）</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top"/>
              <w:outlineLvl w:val="9"/>
              <w:rPr>
                <w:rFonts w:hint="eastAsia" w:ascii="宋体" w:hAnsi="宋体" w:eastAsia="宋体" w:cs="宋体"/>
                <w:b/>
                <w:bCs/>
                <w:i w:val="0"/>
                <w:color w:val="000000"/>
                <w:spacing w:val="0"/>
                <w:kern w:val="0"/>
                <w:sz w:val="15"/>
                <w:szCs w:val="15"/>
                <w:u w:val="none"/>
                <w:lang w:val="en-US" w:eastAsia="zh-CN" w:bidi="ar"/>
              </w:rPr>
            </w:pPr>
            <w:r>
              <w:rPr>
                <w:rFonts w:hint="eastAsia" w:ascii="宋体" w:hAnsi="宋体" w:eastAsia="宋体" w:cs="宋体"/>
                <w:b/>
                <w:bCs/>
                <w:i w:val="0"/>
                <w:color w:val="000000"/>
                <w:spacing w:val="0"/>
                <w:kern w:val="0"/>
                <w:sz w:val="15"/>
                <w:szCs w:val="15"/>
                <w:u w:val="none"/>
                <w:lang w:val="en-US" w:eastAsia="zh-CN" w:bidi="ar"/>
              </w:rPr>
              <w:t>办理说明（环节结果）</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top"/>
              <w:outlineLvl w:val="9"/>
              <w:rPr>
                <w:rFonts w:hint="eastAsia" w:ascii="宋体" w:hAnsi="宋体" w:eastAsia="宋体" w:cs="宋体"/>
                <w:b/>
                <w:bCs/>
                <w:i w:val="0"/>
                <w:color w:val="000000"/>
                <w:spacing w:val="0"/>
                <w:kern w:val="0"/>
                <w:sz w:val="15"/>
                <w:szCs w:val="15"/>
                <w:u w:val="none"/>
                <w:lang w:val="en-US" w:eastAsia="zh-CN" w:bidi="ar"/>
              </w:rPr>
            </w:pPr>
            <w:r>
              <w:rPr>
                <w:rFonts w:hint="eastAsia" w:ascii="宋体" w:hAnsi="宋体" w:eastAsia="宋体" w:cs="宋体"/>
                <w:b/>
                <w:bCs/>
                <w:i w:val="0"/>
                <w:color w:val="000000"/>
                <w:spacing w:val="0"/>
                <w:kern w:val="0"/>
                <w:sz w:val="15"/>
                <w:szCs w:val="15"/>
                <w:u w:val="none"/>
                <w:lang w:val="en-US" w:eastAsia="zh-CN" w:bidi="ar"/>
              </w:rPr>
              <w:t>办理时限</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top"/>
              <w:outlineLvl w:val="9"/>
              <w:rPr>
                <w:rFonts w:hint="eastAsia" w:ascii="宋体" w:hAnsi="宋体" w:eastAsia="宋体" w:cs="宋体"/>
                <w:b/>
                <w:bCs/>
                <w:i w:val="0"/>
                <w:color w:val="000000"/>
                <w:spacing w:val="0"/>
                <w:kern w:val="0"/>
                <w:sz w:val="15"/>
                <w:szCs w:val="15"/>
                <w:u w:val="none"/>
                <w:lang w:val="en-US" w:eastAsia="zh-CN" w:bidi="ar"/>
              </w:rPr>
            </w:pPr>
            <w:r>
              <w:rPr>
                <w:rFonts w:hint="eastAsia" w:ascii="宋体" w:hAnsi="宋体" w:eastAsia="宋体" w:cs="宋体"/>
                <w:b/>
                <w:bCs/>
                <w:i w:val="0"/>
                <w:color w:val="000000"/>
                <w:spacing w:val="0"/>
                <w:kern w:val="0"/>
                <w:sz w:val="15"/>
                <w:szCs w:val="15"/>
                <w:u w:val="none"/>
                <w:lang w:val="en-US" w:eastAsia="zh-CN" w:bidi="ar"/>
              </w:rPr>
              <w:t>办理处（室）</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top"/>
              <w:outlineLvl w:val="9"/>
              <w:rPr>
                <w:rFonts w:hint="eastAsia" w:ascii="宋体" w:hAnsi="宋体" w:eastAsia="宋体" w:cs="宋体"/>
                <w:b/>
                <w:bCs/>
                <w:i w:val="0"/>
                <w:color w:val="000000"/>
                <w:spacing w:val="0"/>
                <w:kern w:val="0"/>
                <w:sz w:val="15"/>
                <w:szCs w:val="15"/>
                <w:u w:val="none"/>
                <w:lang w:val="en-US" w:eastAsia="zh-CN" w:bidi="ar"/>
              </w:rPr>
            </w:pPr>
            <w:r>
              <w:rPr>
                <w:rFonts w:hint="eastAsia" w:ascii="宋体" w:hAnsi="宋体" w:eastAsia="宋体" w:cs="宋体"/>
                <w:b/>
                <w:bCs/>
                <w:i w:val="0"/>
                <w:color w:val="000000"/>
                <w:spacing w:val="0"/>
                <w:kern w:val="0"/>
                <w:sz w:val="15"/>
                <w:szCs w:val="15"/>
                <w:u w:val="none"/>
                <w:lang w:val="en-US" w:eastAsia="zh-CN" w:bidi="ar"/>
              </w:rPr>
              <w:t>办理</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top"/>
              <w:outlineLvl w:val="9"/>
              <w:rPr>
                <w:rFonts w:hint="eastAsia" w:ascii="宋体" w:hAnsi="宋体" w:eastAsia="宋体" w:cs="宋体"/>
                <w:b/>
                <w:bCs/>
                <w:i w:val="0"/>
                <w:color w:val="000000"/>
                <w:spacing w:val="0"/>
                <w:kern w:val="0"/>
                <w:sz w:val="15"/>
                <w:szCs w:val="15"/>
                <w:u w:val="none"/>
                <w:lang w:val="en-US" w:eastAsia="zh-CN" w:bidi="ar"/>
              </w:rPr>
            </w:pPr>
            <w:r>
              <w:rPr>
                <w:rFonts w:hint="eastAsia" w:ascii="宋体" w:hAnsi="宋体" w:eastAsia="宋体" w:cs="宋体"/>
                <w:b/>
                <w:bCs/>
                <w:i w:val="0"/>
                <w:color w:val="000000"/>
                <w:spacing w:val="0"/>
                <w:kern w:val="0"/>
                <w:sz w:val="15"/>
                <w:szCs w:val="15"/>
                <w:u w:val="none"/>
                <w:lang w:val="en-US" w:eastAsia="zh-CN" w:bidi="ar"/>
              </w:rPr>
              <w:t>人员</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top"/>
              <w:outlineLvl w:val="9"/>
              <w:rPr>
                <w:rFonts w:hint="eastAsia" w:ascii="宋体" w:hAnsi="宋体" w:eastAsia="宋体" w:cs="宋体"/>
                <w:b/>
                <w:bCs/>
                <w:i w:val="0"/>
                <w:color w:val="000000"/>
                <w:spacing w:val="0"/>
                <w:kern w:val="0"/>
                <w:sz w:val="15"/>
                <w:szCs w:val="15"/>
                <w:u w:val="none"/>
                <w:lang w:val="en-US" w:eastAsia="zh-CN" w:bidi="ar"/>
              </w:rPr>
            </w:pPr>
            <w:r>
              <w:rPr>
                <w:rFonts w:hint="eastAsia" w:ascii="宋体" w:hAnsi="宋体" w:eastAsia="宋体" w:cs="宋体"/>
                <w:b/>
                <w:bCs/>
                <w:i w:val="0"/>
                <w:color w:val="000000"/>
                <w:spacing w:val="0"/>
                <w:kern w:val="0"/>
                <w:sz w:val="15"/>
                <w:szCs w:val="15"/>
                <w:u w:val="none"/>
                <w:lang w:val="en-US" w:eastAsia="zh-CN" w:bidi="ar"/>
              </w:rPr>
              <w:t>收费金额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1" w:hRule="atLeast"/>
          <w:jc w:val="center"/>
        </w:trPr>
        <w:tc>
          <w:tcPr>
            <w:tcW w:w="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受理</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符合《危险化学品建设项目安全监督管理办法》（原国家安全生产监督管理总局令第45号）第二章</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网上预受理、受理，或窗口受理。材料预审、在线咨询、网上查询、网上申报。</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一、申请事项不在受理范围之内的：网上告知或窗口当场告知不予预受理的理由。</w:t>
            </w:r>
            <w:r>
              <w:rPr>
                <w:rFonts w:hint="eastAsia" w:ascii="宋体" w:hAnsi="宋体" w:eastAsia="宋体" w:cs="宋体"/>
                <w:i w:val="0"/>
                <w:color w:val="000000"/>
                <w:spacing w:val="0"/>
                <w:kern w:val="0"/>
                <w:sz w:val="15"/>
                <w:szCs w:val="15"/>
                <w:u w:val="none"/>
                <w:lang w:val="en-US" w:eastAsia="zh-CN" w:bidi="ar"/>
              </w:rPr>
              <w:br w:type="textWrapping"/>
            </w:r>
            <w:r>
              <w:rPr>
                <w:rFonts w:hint="eastAsia" w:ascii="宋体" w:hAnsi="宋体" w:eastAsia="宋体" w:cs="宋体"/>
                <w:i w:val="0"/>
                <w:color w:val="000000"/>
                <w:spacing w:val="0"/>
                <w:kern w:val="0"/>
                <w:sz w:val="15"/>
                <w:szCs w:val="15"/>
                <w:u w:val="none"/>
                <w:lang w:val="en-US" w:eastAsia="zh-CN" w:bidi="ar"/>
              </w:rPr>
              <w:t>二、申请事项在受理范围内的。⑴网上预受理:工作人员先对申报单位网上注册后填报的信息要素、上传申请材料清单（PDF格式电子版）进行预审。①不符合云平台申报要素的，网上告知申请人“补齐补正”内容，要求3个工作日内网上“补齐补正”，超过3个工作日仍未“补正”的则网上告知“不予预受理”理由或对本次申请做出“作废”处置。②若符合云平台申报要素则网上“预受理通过”。⑵申请材料邮寄或送达：申请人接到“预受理通过”信息后，要在5个工作日内将申请材料书面材料及PDF格式电子版邮寄至省应急管理厅行政审批管理处或送达省应急管理厅窗口（预受理工作人员）；⑶网上或窗口办理：工作人员自收到申请书面材料之日起1个工作日内，对书面申请材料与网上申请材料是否一致性进行形式审查。①对书面材料齐全、符合规定形式的，则网上“受理”、或窗口接件的则出具书面受理通知书；②对书面材料不齐全、或与网上申请材料清单不一致、或不符合规定形式的，应一次性告知申请人不予受理的理由，并出具书面凭证。</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1个工作日</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行政审批管理处</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窗口工作人员</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7" w:hRule="atLeast"/>
          <w:jc w:val="center"/>
        </w:trPr>
        <w:tc>
          <w:tcPr>
            <w:tcW w:w="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审查</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符合《危险化学品建设项目安全监督管理办法》（原国家安全生产监督管理总局令第45号）第二章</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1.受理之日起应当组织对企业提交的申请文件、资料进行审查。2.对企业提交的文件、资料实质内容存在疑问，需要到现场核查的，应当指派工作人员就有关内容进行现场核查。工作人员应当如实提出现场核查意见。</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1.受理之日起的建设项目安全条件审查申请，安全生产监督管理部门应当指派有关人员或者组织专家对申请文件、资料进行审查，并自受理申请之日起四十五日内向建设单位出具建设项目安全条件审查意见书。建设项目安全条件审查意见书的有效期为两年。</w:t>
            </w:r>
            <w:r>
              <w:rPr>
                <w:rFonts w:hint="eastAsia" w:ascii="宋体" w:hAnsi="宋体" w:eastAsia="宋体" w:cs="宋体"/>
                <w:i w:val="0"/>
                <w:color w:val="000000"/>
                <w:spacing w:val="0"/>
                <w:kern w:val="0"/>
                <w:sz w:val="15"/>
                <w:szCs w:val="15"/>
                <w:u w:val="none"/>
                <w:lang w:val="en-US" w:eastAsia="zh-CN" w:bidi="ar"/>
              </w:rPr>
              <w:br w:type="textWrapping"/>
            </w:r>
            <w:r>
              <w:rPr>
                <w:rFonts w:hint="eastAsia" w:ascii="宋体" w:hAnsi="宋体" w:eastAsia="宋体" w:cs="宋体"/>
                <w:i w:val="0"/>
                <w:color w:val="000000"/>
                <w:spacing w:val="0"/>
                <w:kern w:val="0"/>
                <w:sz w:val="15"/>
                <w:szCs w:val="15"/>
                <w:u w:val="none"/>
                <w:lang w:val="en-US" w:eastAsia="zh-CN" w:bidi="ar"/>
              </w:rPr>
              <w:t>2.根据法定条件和程序，需要对申请文件、资料的实质内容进行核实的，安全生产监督管理部门应当指派两名以上工作人员对建设项目进行现场核查。建设单位整改现场核查发现的有关问题和修改申请文件、资料所需时间不计算在本条规定的期限内。</w:t>
            </w:r>
            <w:r>
              <w:rPr>
                <w:rFonts w:hint="eastAsia" w:ascii="宋体" w:hAnsi="宋体" w:eastAsia="宋体" w:cs="宋体"/>
                <w:i w:val="0"/>
                <w:color w:val="000000"/>
                <w:spacing w:val="0"/>
                <w:kern w:val="0"/>
                <w:sz w:val="15"/>
                <w:szCs w:val="15"/>
                <w:u w:val="none"/>
                <w:lang w:val="en-US" w:eastAsia="zh-CN" w:bidi="ar"/>
              </w:rPr>
              <w:br w:type="textWrapping"/>
            </w:r>
            <w:r>
              <w:rPr>
                <w:rFonts w:hint="eastAsia" w:ascii="宋体" w:hAnsi="宋体" w:eastAsia="宋体" w:cs="宋体"/>
                <w:i w:val="0"/>
                <w:color w:val="000000"/>
                <w:spacing w:val="0"/>
                <w:kern w:val="0"/>
                <w:sz w:val="15"/>
                <w:szCs w:val="15"/>
                <w:u w:val="none"/>
                <w:lang w:val="en-US" w:eastAsia="zh-CN" w:bidi="ar"/>
              </w:rPr>
              <w:t>3.建设项目有下列情形之一的，安全条件审查不予通过：①安全评价报告存在重大缺陷、漏项的，包括建设项目主要危险、有害因素辨识和评价不全或者不准确的；②建设项目与周边场所、设施的距离或者拟建场址自然条件不符合有关安全生产法律、法规、规章和国家标准、行业标准的规定的；③主要技术、工艺未确定，或者不符合有关安全生产法律、法规、规章和国家标准、行业标准的规定的；④国内首次使用的化工工艺，未经省级人民政府有关部门组织的安全可靠性论证的；⑤对安全设施设计提出的对策与建议不符合法律、法规、规章和国家标准、行业标准的规定的；⑥未委托具备相应资质的安全评价机构进行安全评价的；⑦隐瞒有关情况或者提供虚假文件、资料的。建设项目未通过安全条件审查的，建设单位经过整改后可以重新申请建设项目安全条件审查。</w:t>
            </w:r>
            <w:r>
              <w:rPr>
                <w:rFonts w:hint="eastAsia" w:ascii="宋体" w:hAnsi="宋体" w:eastAsia="宋体" w:cs="宋体"/>
                <w:i w:val="0"/>
                <w:color w:val="000000"/>
                <w:spacing w:val="0"/>
                <w:kern w:val="0"/>
                <w:sz w:val="15"/>
                <w:szCs w:val="15"/>
                <w:u w:val="none"/>
                <w:lang w:val="en-US" w:eastAsia="zh-CN" w:bidi="ar"/>
              </w:rPr>
              <w:br w:type="textWrapping"/>
            </w:r>
            <w:r>
              <w:rPr>
                <w:rFonts w:hint="eastAsia" w:ascii="宋体" w:hAnsi="宋体" w:eastAsia="宋体" w:cs="宋体"/>
                <w:i w:val="0"/>
                <w:color w:val="000000"/>
                <w:spacing w:val="0"/>
                <w:kern w:val="0"/>
                <w:sz w:val="15"/>
                <w:szCs w:val="15"/>
                <w:u w:val="none"/>
                <w:lang w:val="en-US" w:eastAsia="zh-CN" w:bidi="ar"/>
              </w:rPr>
              <w:t>4.已经通过安全条件审查的建设项目有下列情形之一的，建设单位应当重新进行安全评价，并申请审查：①建设项目周边条件发生重大变化的；②变更建设地址的；③主要技术、工艺路线、产品方案或者装置规模发生重大变化的；④建设项目在安全条件审查意见书有效期内未开工建设，期限届满后需要开工建设的。</w:t>
            </w:r>
            <w:r>
              <w:rPr>
                <w:rFonts w:hint="eastAsia" w:ascii="宋体" w:hAnsi="宋体" w:eastAsia="宋体" w:cs="宋体"/>
                <w:i w:val="0"/>
                <w:color w:val="000000"/>
                <w:spacing w:val="0"/>
                <w:kern w:val="0"/>
                <w:sz w:val="15"/>
                <w:szCs w:val="15"/>
                <w:u w:val="none"/>
                <w:lang w:val="en-US" w:eastAsia="zh-CN" w:bidi="ar"/>
              </w:rPr>
              <w:br w:type="textWrapping"/>
            </w:r>
            <w:r>
              <w:rPr>
                <w:rFonts w:hint="eastAsia" w:ascii="宋体" w:hAnsi="宋体" w:eastAsia="宋体" w:cs="宋体"/>
                <w:i w:val="0"/>
                <w:color w:val="000000"/>
                <w:spacing w:val="0"/>
                <w:kern w:val="0"/>
                <w:sz w:val="15"/>
                <w:szCs w:val="15"/>
                <w:u w:val="none"/>
                <w:lang w:val="en-US" w:eastAsia="zh-CN" w:bidi="ar"/>
              </w:rPr>
              <w:t>5.组织召开处务会议；拟稿批准文件，报厅分管领导审批。</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30个工作日</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危险化学品监管处</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田军民</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3</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决定</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符合《危险化学品建设项目安全监督管理办法》（原国家安全生产监督管理总局令第45号）第二章</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签发文件</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1.符合规定的，分管厅领导签发批准文件，网上提交“同意”意见。</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2.不符合规定，分管厅领导签发不予批准文件，网上提交“不同意”意见。</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5个工作日</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厅领导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杨振中</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51" w:hRule="atLeast"/>
          <w:jc w:val="center"/>
        </w:trPr>
        <w:tc>
          <w:tcPr>
            <w:tcW w:w="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4</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送达</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原安全监管总局执法手册第七章</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送达公告，</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整理归档。</w:t>
            </w: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一.送达公告：将办结情况网上和短信通知申请人；送达批复或不予批复通知书；办结之日起5个工作日内在信用山西、企业信用信息和厅门户网站公告。</w:t>
            </w:r>
            <w:r>
              <w:rPr>
                <w:rFonts w:hint="eastAsia" w:ascii="宋体" w:hAnsi="宋体" w:eastAsia="宋体" w:cs="宋体"/>
                <w:i w:val="0"/>
                <w:color w:val="000000"/>
                <w:spacing w:val="0"/>
                <w:kern w:val="0"/>
                <w:sz w:val="15"/>
                <w:szCs w:val="15"/>
                <w:u w:val="none"/>
                <w:lang w:val="en-US" w:eastAsia="zh-CN" w:bidi="ar"/>
              </w:rPr>
              <w:br w:type="textWrapping"/>
            </w:r>
            <w:r>
              <w:rPr>
                <w:rFonts w:hint="eastAsia" w:ascii="宋体" w:hAnsi="宋体" w:eastAsia="宋体" w:cs="宋体"/>
                <w:i w:val="0"/>
                <w:color w:val="000000"/>
                <w:spacing w:val="0"/>
                <w:kern w:val="0"/>
                <w:sz w:val="15"/>
                <w:szCs w:val="15"/>
                <w:u w:val="none"/>
                <w:lang w:val="en-US" w:eastAsia="zh-CN" w:bidi="ar"/>
              </w:rPr>
              <w:t>二.整理归档：将申报材料、批准文件（或批复）和送达回执单等纸质书面材料送处档案室归档，档案交接手续齐全。</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5个工作日</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Theme="minorEastAsia" w:hAnsiTheme="minorEastAsia" w:eastAsiaTheme="minorEastAsia" w:cstheme="minorEastAsia"/>
                <w:i w:val="0"/>
                <w:color w:val="000000"/>
                <w:kern w:val="0"/>
                <w:sz w:val="15"/>
                <w:szCs w:val="15"/>
                <w:u w:val="none"/>
                <w:lang w:val="en-US" w:eastAsia="zh-CN" w:bidi="ar"/>
              </w:rPr>
              <w:t>行政审批管理处</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工作</w:t>
            </w:r>
          </w:p>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人员</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top"/>
              <w:outlineLvl w:val="9"/>
              <w:rPr>
                <w:rFonts w:hint="eastAsia" w:ascii="宋体" w:hAnsi="宋体" w:eastAsia="宋体" w:cs="宋体"/>
                <w:i w:val="0"/>
                <w:color w:val="000000"/>
                <w:spacing w:val="0"/>
                <w:kern w:val="0"/>
                <w:sz w:val="15"/>
                <w:szCs w:val="15"/>
                <w:u w:val="none"/>
                <w:lang w:val="en-US" w:eastAsia="zh-CN" w:bidi="ar"/>
              </w:rPr>
            </w:pPr>
            <w:r>
              <w:rPr>
                <w:rFonts w:hint="eastAsia" w:ascii="宋体" w:hAnsi="宋体" w:eastAsia="宋体" w:cs="宋体"/>
                <w:i w:val="0"/>
                <w:color w:val="000000"/>
                <w:spacing w:val="0"/>
                <w:kern w:val="0"/>
                <w:sz w:val="15"/>
                <w:szCs w:val="15"/>
                <w:u w:val="none"/>
                <w:lang w:val="en-US" w:eastAsia="zh-CN" w:bidi="ar"/>
              </w:rPr>
              <w:t>不收费</w:t>
            </w:r>
          </w:p>
        </w:tc>
      </w:tr>
    </w:tbl>
    <w:p>
      <w:pPr>
        <w:keepNext w:val="0"/>
        <w:keepLines w:val="0"/>
        <w:pageBreakBefore w:val="0"/>
        <w:widowControl w:val="0"/>
        <w:kinsoku/>
        <w:wordWrap/>
        <w:overflowPunct/>
        <w:topLinePunct w:val="0"/>
        <w:autoSpaceDE/>
        <w:autoSpaceDN/>
        <w:bidi w:val="0"/>
        <w:adjustRightInd/>
        <w:snapToGrid/>
        <w:spacing w:after="161" w:afterLines="50" w:line="4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br w:type="page"/>
      </w:r>
    </w:p>
    <w:p>
      <w:pPr>
        <w:keepNext w:val="0"/>
        <w:keepLines w:val="0"/>
        <w:pageBreakBefore w:val="0"/>
        <w:widowControl w:val="0"/>
        <w:kinsoku/>
        <w:wordWrap/>
        <w:overflowPunct/>
        <w:topLinePunct w:val="0"/>
        <w:autoSpaceDE/>
        <w:autoSpaceDN/>
        <w:bidi w:val="0"/>
        <w:adjustRightInd/>
        <w:snapToGrid/>
        <w:spacing w:after="161" w:afterLines="50" w:line="4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t>常见问题解答</w:t>
      </w:r>
    </w:p>
    <w:tbl>
      <w:tblPr>
        <w:tblStyle w:val="5"/>
        <w:tblW w:w="7228"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62"/>
        <w:gridCol w:w="3149"/>
        <w:gridCol w:w="37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jc w:val="center"/>
        </w:trPr>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序号</w:t>
            </w:r>
          </w:p>
        </w:tc>
        <w:tc>
          <w:tcPr>
            <w:tcW w:w="3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问题</w:t>
            </w:r>
          </w:p>
        </w:tc>
        <w:tc>
          <w:tcPr>
            <w:tcW w:w="3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解答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9" w:hRule="atLeast"/>
          <w:jc w:val="center"/>
        </w:trPr>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w:t>
            </w:r>
          </w:p>
        </w:tc>
        <w:tc>
          <w:tcPr>
            <w:tcW w:w="3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是否需要提交电子版？</w:t>
            </w:r>
          </w:p>
        </w:tc>
        <w:tc>
          <w:tcPr>
            <w:tcW w:w="3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需要提交刻有所有材料电子版的光盘一份。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86" w:hRule="atLeast"/>
          <w:jc w:val="center"/>
        </w:trPr>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w:t>
            </w:r>
          </w:p>
        </w:tc>
        <w:tc>
          <w:tcPr>
            <w:tcW w:w="3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申请材料是否提交合订本？</w:t>
            </w:r>
          </w:p>
        </w:tc>
        <w:tc>
          <w:tcPr>
            <w:tcW w:w="3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依据行政许可档案管理规定，案卷分别装订，不要合订本。</w:t>
            </w:r>
          </w:p>
        </w:tc>
      </w:tr>
    </w:tbl>
    <w:p>
      <w:pPr>
        <w:keepNext w:val="0"/>
        <w:keepLines w:val="0"/>
        <w:pageBreakBefore w:val="0"/>
        <w:widowControl w:val="0"/>
        <w:kinsoku/>
        <w:wordWrap/>
        <w:overflowPunct/>
        <w:topLinePunct w:val="0"/>
        <w:autoSpaceDE/>
        <w:autoSpaceDN/>
        <w:bidi w:val="0"/>
        <w:adjustRightInd/>
        <w:snapToGrid/>
        <w:spacing w:after="161" w:afterLines="50" w:line="4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28"/>
          <w:szCs w:val="28"/>
        </w:rPr>
      </w:pPr>
    </w:p>
    <w:sectPr>
      <w:footerReference r:id="rId3" w:type="default"/>
      <w:pgSz w:w="8335" w:h="11850"/>
      <w:pgMar w:top="850" w:right="850" w:bottom="850" w:left="850" w:header="0" w:footer="56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altName w:val="黑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粗黑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7" name="文本框 1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fldChar w:fldCharType="begin"/>
                          </w:r>
                          <w:r>
                            <w:rPr>
                              <w:rFonts w:hint="eastAsia" w:asciiTheme="majorEastAsia" w:hAnsiTheme="majorEastAsia" w:eastAsiaTheme="majorEastAsia" w:cstheme="majorEastAsia"/>
                              <w:sz w:val="24"/>
                              <w:szCs w:val="24"/>
                              <w:lang w:eastAsia="zh-CN"/>
                            </w:rPr>
                            <w:instrText xml:space="preserve"> PAGE  \* MERGEFORMAT </w:instrText>
                          </w:r>
                          <w:r>
                            <w:rPr>
                              <w:rFonts w:hint="eastAsia" w:asciiTheme="majorEastAsia" w:hAnsiTheme="majorEastAsia" w:eastAsiaTheme="majorEastAsia" w:cstheme="majorEastAsia"/>
                              <w:sz w:val="24"/>
                              <w:szCs w:val="24"/>
                              <w:lang w:eastAsia="zh-CN"/>
                            </w:rPr>
                            <w:fldChar w:fldCharType="separate"/>
                          </w:r>
                          <w:r>
                            <w:rPr>
                              <w:rFonts w:hint="eastAsia" w:asciiTheme="majorEastAsia" w:hAnsiTheme="majorEastAsia" w:eastAsiaTheme="majorEastAsia" w:cstheme="majorEastAsia"/>
                              <w:sz w:val="24"/>
                              <w:szCs w:val="24"/>
                              <w:lang w:eastAsia="zh-CN"/>
                            </w:rPr>
                            <w:t>1</w:t>
                          </w:r>
                          <w:r>
                            <w:rPr>
                              <w:rFonts w:hint="eastAsia" w:asciiTheme="majorEastAsia" w:hAnsiTheme="majorEastAsia" w:eastAsiaTheme="majorEastAsia" w:cstheme="major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H/bvUUVAgAAFwQAAA4AAAAAAAAA&#10;AQAgAAAAHwEAAGRycy9lMm9Eb2MueG1sUEsFBgAAAAAGAAYAWQEAAKYFAAAAAA==&#10;">
              <v:fill on="f" focussize="0,0"/>
              <v:stroke on="f" weight="0.5pt"/>
              <v:imagedata o:title=""/>
              <o:lock v:ext="edit" aspectratio="f"/>
              <v:textbox inset="0mm,0mm,0mm,0mm" style="mso-fit-shape-to-text:t;">
                <w:txbxContent>
                  <w:p>
                    <w:pPr>
                      <w:pStyle w:val="3"/>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fldChar w:fldCharType="begin"/>
                    </w:r>
                    <w:r>
                      <w:rPr>
                        <w:rFonts w:hint="eastAsia" w:asciiTheme="majorEastAsia" w:hAnsiTheme="majorEastAsia" w:eastAsiaTheme="majorEastAsia" w:cstheme="majorEastAsia"/>
                        <w:sz w:val="24"/>
                        <w:szCs w:val="24"/>
                        <w:lang w:eastAsia="zh-CN"/>
                      </w:rPr>
                      <w:instrText xml:space="preserve"> PAGE  \* MERGEFORMAT </w:instrText>
                    </w:r>
                    <w:r>
                      <w:rPr>
                        <w:rFonts w:hint="eastAsia" w:asciiTheme="majorEastAsia" w:hAnsiTheme="majorEastAsia" w:eastAsiaTheme="majorEastAsia" w:cstheme="majorEastAsia"/>
                        <w:sz w:val="24"/>
                        <w:szCs w:val="24"/>
                        <w:lang w:eastAsia="zh-CN"/>
                      </w:rPr>
                      <w:fldChar w:fldCharType="separate"/>
                    </w:r>
                    <w:r>
                      <w:rPr>
                        <w:rFonts w:hint="eastAsia" w:asciiTheme="majorEastAsia" w:hAnsiTheme="majorEastAsia" w:eastAsiaTheme="majorEastAsia" w:cstheme="majorEastAsia"/>
                        <w:sz w:val="24"/>
                        <w:szCs w:val="24"/>
                        <w:lang w:eastAsia="zh-CN"/>
                      </w:rPr>
                      <w:t>1</w:t>
                    </w:r>
                    <w:r>
                      <w:rPr>
                        <w:rFonts w:hint="eastAsia" w:asciiTheme="majorEastAsia" w:hAnsiTheme="majorEastAsia" w:eastAsiaTheme="majorEastAsia" w:cstheme="majorEastAsia"/>
                        <w:sz w:val="24"/>
                        <w:szCs w:val="2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35686E"/>
    <w:rsid w:val="00D47F3D"/>
    <w:rsid w:val="06E00719"/>
    <w:rsid w:val="06F67632"/>
    <w:rsid w:val="07A62B25"/>
    <w:rsid w:val="086879DA"/>
    <w:rsid w:val="08954689"/>
    <w:rsid w:val="08E67DCC"/>
    <w:rsid w:val="093814E4"/>
    <w:rsid w:val="0B3D2B62"/>
    <w:rsid w:val="0B6A6E87"/>
    <w:rsid w:val="0B76750B"/>
    <w:rsid w:val="0C5B2486"/>
    <w:rsid w:val="0D873FC7"/>
    <w:rsid w:val="0F631F36"/>
    <w:rsid w:val="0FD85952"/>
    <w:rsid w:val="13E72532"/>
    <w:rsid w:val="144C534F"/>
    <w:rsid w:val="147365B5"/>
    <w:rsid w:val="1493306A"/>
    <w:rsid w:val="155B2B86"/>
    <w:rsid w:val="166513AD"/>
    <w:rsid w:val="17BF241A"/>
    <w:rsid w:val="187E0CBC"/>
    <w:rsid w:val="18DF7B5C"/>
    <w:rsid w:val="193D7417"/>
    <w:rsid w:val="1A68298F"/>
    <w:rsid w:val="1DAB38F2"/>
    <w:rsid w:val="1E34339F"/>
    <w:rsid w:val="1EDE59A3"/>
    <w:rsid w:val="20B30FEC"/>
    <w:rsid w:val="211B1143"/>
    <w:rsid w:val="24D043FC"/>
    <w:rsid w:val="25C65D18"/>
    <w:rsid w:val="29681CD8"/>
    <w:rsid w:val="297302AC"/>
    <w:rsid w:val="2BA95E3C"/>
    <w:rsid w:val="2BAE72FD"/>
    <w:rsid w:val="2D064FDB"/>
    <w:rsid w:val="2DEB4A48"/>
    <w:rsid w:val="2FEC7910"/>
    <w:rsid w:val="32190103"/>
    <w:rsid w:val="32BA0529"/>
    <w:rsid w:val="33097ECA"/>
    <w:rsid w:val="33B30B86"/>
    <w:rsid w:val="348C3C32"/>
    <w:rsid w:val="38E80481"/>
    <w:rsid w:val="3A697C88"/>
    <w:rsid w:val="3C9330CD"/>
    <w:rsid w:val="3DD70C34"/>
    <w:rsid w:val="3DF370BC"/>
    <w:rsid w:val="3F3C7DA8"/>
    <w:rsid w:val="3F9C6652"/>
    <w:rsid w:val="40C54511"/>
    <w:rsid w:val="40F5463E"/>
    <w:rsid w:val="4235686E"/>
    <w:rsid w:val="42823BB4"/>
    <w:rsid w:val="429A3005"/>
    <w:rsid w:val="42A52154"/>
    <w:rsid w:val="431F3CBB"/>
    <w:rsid w:val="44832935"/>
    <w:rsid w:val="4AE64E2C"/>
    <w:rsid w:val="4D591D25"/>
    <w:rsid w:val="4DCD70F4"/>
    <w:rsid w:val="4EB1509E"/>
    <w:rsid w:val="4FF17FED"/>
    <w:rsid w:val="527949AD"/>
    <w:rsid w:val="53DD33B5"/>
    <w:rsid w:val="548345CA"/>
    <w:rsid w:val="55D33F3B"/>
    <w:rsid w:val="56826E97"/>
    <w:rsid w:val="56EB646D"/>
    <w:rsid w:val="57727877"/>
    <w:rsid w:val="57F13D10"/>
    <w:rsid w:val="581D002A"/>
    <w:rsid w:val="594F76B5"/>
    <w:rsid w:val="59581205"/>
    <w:rsid w:val="5AE358EF"/>
    <w:rsid w:val="5B3D16A9"/>
    <w:rsid w:val="5C4E77DC"/>
    <w:rsid w:val="5D4005E5"/>
    <w:rsid w:val="5D416066"/>
    <w:rsid w:val="5DD02617"/>
    <w:rsid w:val="5E3E025E"/>
    <w:rsid w:val="5FBA33D4"/>
    <w:rsid w:val="61184820"/>
    <w:rsid w:val="61EC36FF"/>
    <w:rsid w:val="62305EF1"/>
    <w:rsid w:val="64F973F1"/>
    <w:rsid w:val="65466D48"/>
    <w:rsid w:val="65BD4A96"/>
    <w:rsid w:val="66E00750"/>
    <w:rsid w:val="66F249AC"/>
    <w:rsid w:val="6A83417D"/>
    <w:rsid w:val="6BA335E4"/>
    <w:rsid w:val="6CAA3A48"/>
    <w:rsid w:val="6E350EB2"/>
    <w:rsid w:val="70811AF7"/>
    <w:rsid w:val="70F30658"/>
    <w:rsid w:val="71393C4F"/>
    <w:rsid w:val="73C94A1F"/>
    <w:rsid w:val="740057C2"/>
    <w:rsid w:val="741F3A3B"/>
    <w:rsid w:val="75A64F45"/>
    <w:rsid w:val="776E1A5E"/>
    <w:rsid w:val="78D4662D"/>
    <w:rsid w:val="7C0930C4"/>
    <w:rsid w:val="7CE23C7A"/>
    <w:rsid w:val="7D38437C"/>
    <w:rsid w:val="7E1309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jc w:val="center"/>
    </w:pPr>
    <w:rPr>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11"/>
    <w:basedOn w:val="6"/>
    <w:qFormat/>
    <w:uiPriority w:val="0"/>
    <w:rPr>
      <w:rFonts w:hint="default" w:ascii="等线" w:hAnsi="等线" w:eastAsia="等线" w:cs="等线"/>
      <w:color w:val="000000"/>
      <w:sz w:val="22"/>
      <w:szCs w:val="22"/>
      <w:u w:val="none"/>
    </w:rPr>
  </w:style>
  <w:style w:type="character" w:customStyle="1" w:styleId="8">
    <w:name w:val="font21"/>
    <w:basedOn w:val="6"/>
    <w:qFormat/>
    <w:uiPriority w:val="0"/>
    <w:rPr>
      <w:rFonts w:hint="eastAsia" w:ascii="宋体" w:hAnsi="宋体" w:eastAsia="宋体" w:cs="宋体"/>
      <w:color w:val="000000"/>
      <w:sz w:val="21"/>
      <w:szCs w:val="21"/>
      <w:u w:val="none"/>
    </w:rPr>
  </w:style>
  <w:style w:type="character" w:customStyle="1" w:styleId="9">
    <w:name w:val="font01"/>
    <w:basedOn w:val="6"/>
    <w:qFormat/>
    <w:uiPriority w:val="0"/>
    <w:rPr>
      <w:rFonts w:ascii="等线" w:hAnsi="等线" w:eastAsia="等线" w:cs="等线"/>
      <w:color w:val="000000"/>
      <w:sz w:val="22"/>
      <w:szCs w:val="22"/>
      <w:u w:val="none"/>
    </w:rPr>
  </w:style>
  <w:style w:type="character" w:customStyle="1" w:styleId="10">
    <w:name w:val="font31"/>
    <w:basedOn w:val="6"/>
    <w:qFormat/>
    <w:uiPriority w:val="0"/>
    <w:rPr>
      <w:rFonts w:hint="eastAsia" w:ascii="宋体" w:hAnsi="宋体" w:eastAsia="宋体" w:cs="宋体"/>
      <w:color w:val="000000"/>
      <w:sz w:val="21"/>
      <w:szCs w:val="21"/>
      <w:u w:val="none"/>
    </w:rPr>
  </w:style>
  <w:style w:type="character" w:customStyle="1" w:styleId="11">
    <w:name w:val="font41"/>
    <w:basedOn w:val="6"/>
    <w:qFormat/>
    <w:uiPriority w:val="0"/>
    <w:rPr>
      <w:rFonts w:ascii="等线" w:hAnsi="等线" w:eastAsia="等线" w:cs="等线"/>
      <w:color w:val="000000"/>
      <w:sz w:val="22"/>
      <w:szCs w:val="22"/>
      <w:u w:val="none"/>
    </w:rPr>
  </w:style>
  <w:style w:type="character" w:customStyle="1" w:styleId="12">
    <w:name w:val="font51"/>
    <w:basedOn w:val="6"/>
    <w:qFormat/>
    <w:uiPriority w:val="0"/>
    <w:rPr>
      <w:rFonts w:hint="default" w:ascii="等线" w:hAnsi="等线" w:eastAsia="等线" w:cs="等线"/>
      <w:color w:val="000000"/>
      <w:sz w:val="22"/>
      <w:szCs w:val="22"/>
      <w:u w:val="none"/>
    </w:rPr>
  </w:style>
  <w:style w:type="character" w:customStyle="1" w:styleId="13">
    <w:name w:val="font8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6405</Words>
  <Characters>6512</Characters>
  <Lines>0</Lines>
  <Paragraphs>0</Paragraphs>
  <TotalTime>0</TotalTime>
  <ScaleCrop>false</ScaleCrop>
  <LinksUpToDate>false</LinksUpToDate>
  <CharactersWithSpaces>6690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2018-01-09T04:29:00Z</dcterms:created>
  <dc:creator>Administrator</dc:creator>
  <cp:lastModifiedBy>NTKO</cp:lastModifiedBy>
  <dcterms:modified xsi:type="dcterms:W3CDTF">2019-09-20T01:34:23Z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