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粗黑宋简体" w:hAnsi="方正粗黑宋简体" w:eastAsia="方正粗黑宋简体" w:cs="方正粗黑宋简体"/>
          <w:b/>
          <w:bCs/>
          <w:sz w:val="32"/>
          <w:szCs w:val="32"/>
        </w:rPr>
      </w:pPr>
      <w:r>
        <w:rPr>
          <w:rFonts w:hint="eastAsia" w:ascii="方正粗黑宋简体" w:hAnsi="方正粗黑宋简体" w:eastAsia="方正粗黑宋简体" w:cs="方正粗黑宋简体"/>
          <w:b/>
          <w:bCs/>
          <w:i w:val="0"/>
          <w:color w:val="000000"/>
          <w:kern w:val="0"/>
          <w:sz w:val="32"/>
          <w:szCs w:val="32"/>
          <w:u w:val="none"/>
          <w:lang w:val="en-US" w:eastAsia="zh-CN" w:bidi="ar"/>
        </w:rPr>
        <w:t>第一类非药品类易制毒化学品生产许可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bookmarkStart w:id="0" w:name="_GoBack"/>
      <w:bookmarkEnd w:id="0"/>
    </w:p>
    <w:tbl>
      <w:tblPr>
        <w:tblStyle w:val="5"/>
        <w:tblW w:w="72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4"/>
        <w:gridCol w:w="2136"/>
        <w:gridCol w:w="2640"/>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sz w:val="15"/>
                <w:szCs w:val="15"/>
                <w:u w:val="none"/>
                <w:lang w:val="en-US" w:eastAsia="zh-CN"/>
              </w:rPr>
            </w:pPr>
            <w:r>
              <w:rPr>
                <w:rFonts w:hint="eastAsia" w:ascii="宋体" w:hAnsi="宋体" w:eastAsia="宋体" w:cs="宋体"/>
                <w:b/>
                <w:bCs/>
                <w:i w:val="0"/>
                <w:color w:val="000000"/>
                <w:sz w:val="15"/>
                <w:szCs w:val="15"/>
                <w:u w:val="none"/>
                <w:lang w:val="en-US" w:eastAsia="zh-CN"/>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要素名称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要素内容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内容说明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sz w:val="15"/>
                <w:szCs w:val="15"/>
                <w:u w:val="none"/>
                <w:lang w:val="en-US" w:eastAsia="zh-CN"/>
              </w:rPr>
            </w:pPr>
            <w:r>
              <w:rPr>
                <w:rFonts w:hint="eastAsia" w:ascii="宋体" w:hAnsi="宋体" w:eastAsia="宋体" w:cs="宋体"/>
                <w:b/>
                <w:bCs/>
                <w:i w:val="0"/>
                <w:color w:val="000000"/>
                <w:sz w:val="15"/>
                <w:szCs w:val="15"/>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第一类非药品类易制毒化学品生产许可</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子项名称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有子项的填写子项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事项编码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000125043000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事项类型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行政许可</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行政许可/行政征收/行政给付/行政确认/其他事项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事项来源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法定本级行使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法定本级行使/下放本级行使/委托本级行使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行使层级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省级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国家级、省级、市级、县级、乡级、村级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实施机构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山西省安监局</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办理具体政务服务事项的机构名称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办件类型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承诺件/即办件/上报件/联报件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自然人/法人（行政机关、事业单位、企业、其他组织等）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法定时限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75个工作日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某一政务服务事项法规条款明确的具体办结时限（工作日/自然日）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承诺时限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26个工作日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对外承诺办结时限（工作日/自然日）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时限依据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《非药品类易制毒化学品生产、经营许可办法》（国家安全生产监督管理总局令第5号）第十一条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法律法规名称、对应条款描述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数量限制</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没有数量限制的填写无限制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收费方式</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不收费/窗口收费/已实现网上缴费/计划增加网上缴费方式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收费标准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物价部门核定的标准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政府部门正式批文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非药品类易制毒化学品（第一类）生产许可证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由法规制定的规范命名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结果样本</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证照、批文采用安全通用的文件格式，图片清晰美观，图片中涉及企业、个人信息须隐藏（作为附件）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受理条件及依据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1.属依法登记的化工产品生产企业或者药品生产企业；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2.有符合国家标准的生产设备、仓储设施和污染物处理设施；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3.有严格的安全生产管理制度和环境突发事件应急预案；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4.企业法定代表人和技术、管理人员具有安全生产和易制毒化学品的有关知识，无毒品犯罪记录；</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5.法律、法规、规章规定的其他条件。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申请生产第一类中的药品类易制毒化学品，还应当在仓储场所等重点区域设置电视监控设施以及与公安机关联网的报警装置。</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逐条填写受理条件及相关对应法律条文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是否在本级政务服务中心业务系统统一审批办理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使用大厅统一审批系统</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使用大厅统一审批系统/上级部门统建审批系统/本级自建审批系统/未实行网上审批办理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办理形式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实体大厅窗口办理、材料预审、在线咨询、网上查询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实体大厅窗口办理、网上预约、材料预审、网上申报、在线咨询、网上缴费、网上查询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3"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承诺到现场窗口最多次数（不计邮递结果）</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0-1次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无法承诺/1次/2次/3次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办理结果获取方式（可多选）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窗口领取、邮递办理结果、无需取件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通办范围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本级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本级/跨市/跨县（区）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物流快递</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顺丰、邮政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是否支持办理结果邮递，如果支持填写物流快递合作商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联办机构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同一事项有两个以上实施机构</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中介服务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安全评价机构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法定涉及的中介服务，中介名称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办理地点</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具体承办单位所在地点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 xml:space="preserve">周一至周五（法定节假日除外）：上午9:00-12:00 </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下午:13:00-17:00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事项可办理的时间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咨询服务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窗口咨询、电话咨询、电子邮件咨询、网上咨询等可提供的咨询方式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监督投诉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窗口投诉、电话投诉、网上投诉、电子邮件投诉、信函投诉等渠道（本项内容由政务服务中心统一填写，各厅局单位无需填写）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行政复议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行政诉讼</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可申请行政复议或行政诉讼的部门名称、地点、联系方式等相关信息（本项内容由政务服务中心统一填写，各厅局单位无需填写）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46" w:firstLine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after="95" w:afterLines="30" w:line="500" w:lineRule="exact"/>
        <w:ind w:right="0" w:right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54" w:hRule="atLeas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71" w:hRule="exac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《中华人民共和国安全生产法》第六十条</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881" w:hRule="exac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依照本法第九条 规定负有安全生产监督管理职责的部门（以下统称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836" w:hRule="exac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《易制毒化学品管理条例》（中华人民共和国国务院令第445号）第二条、第七条、第八条</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739"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第二条　国家对易制毒化学品的生产、经营、购买、运输和进口、出口实行分类管理和许可制度。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易制毒化学品分为三类。第一类是可以用于制毒的主要原料，第二类、第三类是可以用于制毒的化学配剂。易制毒化学品的具体分类和品种，由本条例附表列示。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易制毒化学品的分类和品种需要调整的，由国务院公安部门会同国务院食品药品监督管理部门、安全生产监督管理部门、商务主管部门、卫生主管部门和海关总署提出方案，报国务院批准。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省、自治区、直辖市人民政府认为有必要在本行政区域内调整分类或者增加本条例规定以外的品种的，应当向国务院公安部门提出，由国务院公安部门会同国务院有关行政主管部门提出方案，报国务院批准。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第七条　申请生产第一类易制毒化学品，应当具备下列条件，并经本条例第八条规定的行政主管部门审批，取得生产许可证后，方可进行生产：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（一）属依法登记的化工产品生产企业或者药品生产企业；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（二）有符合国家标准的生产设备、仓储设施和污染物处理设施；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（三）有严格的安全生产管理制度和环境突发事件应急预案；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（四）企业法定代表人和技术、管理人员具有安全生产和易制毒化学品的有关知识，无毒品犯罪记录；</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（五）法律、法规、规章规定的其他条件。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申请生产第一类中的药品类易制毒化学品，还应当在仓储场所等重点区域设置电视监控设施以及与公安机关联网的报警装置。</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第八条　申请生产第一类中的药品类易制毒化学品的，由国务院食品药品监督管理部门审批；申请生产第一类中的非药品类易制毒化学品的，由省、自治区、直辖市人民政府安全生产监督管理部门审批。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前款规定的行政主管部门应当自收到申请之日起60日内，对申请人提交的申请材料进行审查。对符合规定的，发给生产许可证，或者在企业已经取得的有关生产许可证件上标注；不予许可的，应当书面说明理由。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审查第一类易制毒化学品生产许可申请材料时，根据需要，可以进行实地核查和专家评审。</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6"/>
        <w:gridCol w:w="1288"/>
        <w:gridCol w:w="690"/>
        <w:gridCol w:w="525"/>
        <w:gridCol w:w="675"/>
        <w:gridCol w:w="1935"/>
        <w:gridCol w:w="810"/>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原件/</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份数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材料类型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材料来源</w:t>
            </w:r>
          </w:p>
        </w:tc>
        <w:tc>
          <w:tcPr>
            <w:tcW w:w="9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法定依据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非药品类易制毒化学品生产许可证申请书及申请文件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填写齐全。法定代表人签字（厅门户网站行政审批事项栏目下载）</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《非药品类易制毒化学品生产、经营许可办法》（国家安全生产监督管理总局令第5号）第七条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9"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生产设备、仓储设施和污染物处理设施情况说明材料</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无固定格式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提交合订本</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2"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易制毒化学品管理制度和环境突发事件应急预案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证照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制度合订本、应急预案</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安监部门</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1"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安全生产管理制度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无固定格式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制度合订本</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8"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产品包装说明和使用说明书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无固定格式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查验原件</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3"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注：，将以上资料均需准备纸质版文件一份，光盘一份。</w:t>
            </w:r>
          </w:p>
        </w:tc>
      </w:tr>
    </w:tbl>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特殊环节</w:t>
      </w:r>
    </w:p>
    <w:tbl>
      <w:tblPr>
        <w:tblStyle w:val="5"/>
        <w:tblW w:w="72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8"/>
        <w:gridCol w:w="4573"/>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bl>
    <w:p>
      <w:pPr>
        <w:jc w:val="left"/>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办理流程及环节说明</w:t>
      </w:r>
    </w:p>
    <w:tbl>
      <w:tblPr>
        <w:tblStyle w:val="5"/>
        <w:tblW w:w="72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6"/>
        <w:gridCol w:w="1089"/>
        <w:gridCol w:w="901"/>
        <w:gridCol w:w="2670"/>
        <w:gridCol w:w="404"/>
        <w:gridCol w:w="694"/>
        <w:gridCol w:w="505"/>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提报材料及要求（审查标准）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（环节描述）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办理说明（环节结果）</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办理时限</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办理处（室）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网上预审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28"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符合《易制毒化学品管理条例》（中华人民共和国国务院令第445号）第二章第九条</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网上预受理、受理，或窗口受理。材料预审。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一、申请事项不在受理范围之内的：网上告知或窗口当场告知不予预受理的理由。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2.申请材料存在可以当场更正的错误的，应当允许或者要求申请人当场更正；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3.申请材料不齐全或者不符合要求的，应当当场或者在5个工作日内书面一次告知申请人需要补正的全部内容，逾期不告知的，自收到申请材料之日起即为受理；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4.申请材料齐全、符合要求或者按照要求全部补正的，自收到申请材料或者全部补正材料之日起为受理。</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审查</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审查、会商、审批</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受理之日起应当组织对企业提交的申请文件、资料进行审查。2.对企业提交的文件、资料实质内容存在疑问，需要到现场核查的，应当指派工作人员就有关内容进行现场核查。工作人员应当如实提出现场核查意见。</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危险化学品监管处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田军民</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决定</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签发文件</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1.符合规定的，分管厅领导签发批准文件，网上提交“同意”意见。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2.不符合规定，分管厅领导签发不予批准文件，网上提交“不同意”意见。</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厅领导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杨振中</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送达</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符合《易制毒化学品管理条例》（中华人民共和国国务院令第445号）第二章第十一条</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送达公告，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整理归档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一.送达公告：将办结情况网上和短信通知申请人；送达批复或不予批复通知书；办结之日起5个工作日内在信用山西、企业信用信息和厅门户网站公告。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二.整理归档：将申报材料、批准文件（或批复）和送达回执单等纸质书面材料送处档案室归档，档案交接手续齐全。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bl>
    <w:p>
      <w:pPr>
        <w:jc w:val="left"/>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常见问题解答</w:t>
      </w:r>
    </w:p>
    <w:tbl>
      <w:tblPr>
        <w:tblStyle w:val="5"/>
        <w:tblW w:w="7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3237"/>
        <w:gridCol w:w="3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问题</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是否需要提交电子版</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需要提交刻有所有材料电子版的光盘两份。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申请材料是否提交合订本？</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依据行政许可档案管理规定，分别装订，不要合订本。</w:t>
            </w:r>
          </w:p>
        </w:tc>
      </w:tr>
    </w:tbl>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6A6E87"/>
    <w:rsid w:val="0B76750B"/>
    <w:rsid w:val="0C5B2486"/>
    <w:rsid w:val="0D873FC7"/>
    <w:rsid w:val="0F631F36"/>
    <w:rsid w:val="0FD85952"/>
    <w:rsid w:val="13E72532"/>
    <w:rsid w:val="144C534F"/>
    <w:rsid w:val="147365B5"/>
    <w:rsid w:val="1493306A"/>
    <w:rsid w:val="155B2B86"/>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9C500C2"/>
    <w:rsid w:val="2BA95E3C"/>
    <w:rsid w:val="2BAE72FD"/>
    <w:rsid w:val="2D064FDB"/>
    <w:rsid w:val="2DEB4A48"/>
    <w:rsid w:val="2FEC7910"/>
    <w:rsid w:val="32190103"/>
    <w:rsid w:val="32BA0529"/>
    <w:rsid w:val="33097ECA"/>
    <w:rsid w:val="33B30B86"/>
    <w:rsid w:val="348C3C32"/>
    <w:rsid w:val="3A697C88"/>
    <w:rsid w:val="3ACD159E"/>
    <w:rsid w:val="3C9330CD"/>
    <w:rsid w:val="3DD70C34"/>
    <w:rsid w:val="3DF370BC"/>
    <w:rsid w:val="3F3C7DA8"/>
    <w:rsid w:val="3F9C6652"/>
    <w:rsid w:val="40C54511"/>
    <w:rsid w:val="40F5463E"/>
    <w:rsid w:val="4235686E"/>
    <w:rsid w:val="42823BB4"/>
    <w:rsid w:val="429A3005"/>
    <w:rsid w:val="431F3CBB"/>
    <w:rsid w:val="44832935"/>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005E5"/>
    <w:rsid w:val="5D416066"/>
    <w:rsid w:val="5DD02617"/>
    <w:rsid w:val="5E3E025E"/>
    <w:rsid w:val="5FBA33D4"/>
    <w:rsid w:val="61184820"/>
    <w:rsid w:val="61EC36FF"/>
    <w:rsid w:val="62305EF1"/>
    <w:rsid w:val="64F973F1"/>
    <w:rsid w:val="65466D48"/>
    <w:rsid w:val="65BD4A96"/>
    <w:rsid w:val="66E00750"/>
    <w:rsid w:val="66F249AC"/>
    <w:rsid w:val="6A83417D"/>
    <w:rsid w:val="6BA335E4"/>
    <w:rsid w:val="6CAA3A48"/>
    <w:rsid w:val="6E350EB2"/>
    <w:rsid w:val="70811AF7"/>
    <w:rsid w:val="70F30658"/>
    <w:rsid w:val="71393C4F"/>
    <w:rsid w:val="73C94A1F"/>
    <w:rsid w:val="740057C2"/>
    <w:rsid w:val="741F3A3B"/>
    <w:rsid w:val="75A64F45"/>
    <w:rsid w:val="776E1A5E"/>
    <w:rsid w:val="78321D99"/>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