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粗黑宋简体" w:hAnsi="方正粗黑宋简体" w:eastAsia="方正粗黑宋简体" w:cs="方正粗黑宋简体"/>
          <w:b/>
          <w:bCs/>
          <w:sz w:val="32"/>
          <w:szCs w:val="32"/>
        </w:rPr>
      </w:pPr>
      <w:r>
        <w:rPr>
          <w:rFonts w:hint="eastAsia" w:ascii="方正粗黑宋简体" w:hAnsi="方正粗黑宋简体" w:eastAsia="方正粗黑宋简体" w:cs="方正粗黑宋简体"/>
          <w:b/>
          <w:bCs/>
          <w:i w:val="0"/>
          <w:color w:val="000000"/>
          <w:kern w:val="0"/>
          <w:sz w:val="32"/>
          <w:szCs w:val="32"/>
          <w:u w:val="none"/>
          <w:lang w:val="en-US" w:eastAsia="zh-CN" w:bidi="ar"/>
        </w:rPr>
        <w:t>第一类非药品类易制毒化学品经营许可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bookmarkStart w:id="0" w:name="_GoBack"/>
      <w:bookmarkEnd w:id="0"/>
    </w:p>
    <w:tbl>
      <w:tblPr>
        <w:tblStyle w:val="5"/>
        <w:tblW w:w="72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4"/>
        <w:gridCol w:w="2136"/>
        <w:gridCol w:w="2640"/>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sz w:val="15"/>
                <w:szCs w:val="15"/>
                <w:u w:val="none"/>
                <w:lang w:val="en-US" w:eastAsia="zh-CN"/>
              </w:rPr>
            </w:pPr>
            <w:r>
              <w:rPr>
                <w:rFonts w:hint="eastAsia" w:ascii="宋体" w:hAnsi="宋体" w:eastAsia="宋体" w:cs="宋体"/>
                <w:b/>
                <w:bCs/>
                <w:i w:val="0"/>
                <w:color w:val="000000"/>
                <w:sz w:val="15"/>
                <w:szCs w:val="15"/>
                <w:u w:val="none"/>
                <w:lang w:val="en-US" w:eastAsia="zh-CN"/>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要素名称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要素内容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内容说明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sz w:val="15"/>
                <w:szCs w:val="15"/>
                <w:u w:val="none"/>
                <w:lang w:val="en-US" w:eastAsia="zh-CN"/>
              </w:rPr>
            </w:pPr>
            <w:r>
              <w:rPr>
                <w:rFonts w:hint="eastAsia" w:ascii="宋体" w:hAnsi="宋体" w:eastAsia="宋体" w:cs="宋体"/>
                <w:b/>
                <w:bCs/>
                <w:i w:val="0"/>
                <w:color w:val="000000"/>
                <w:sz w:val="15"/>
                <w:szCs w:val="15"/>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第一类非药品类易制毒化学品经营许可</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子项名称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有子项的填写子项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事项编码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000125044000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行政许可</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行政许可/行政征收/行政给付/行政确认/其他事项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事项来源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法定本级行使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法定本级行使/下放本级行使/委托本级行使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行使层级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省级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国家级、省级、市级、县级、乡级、村级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实施机构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山西省应急管理厅</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办理具体政务服务事项的机构名称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办件类型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承诺件/即办件/上报件/联报件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自然人/法人（行政机关、事业单位、企业、其他组织等）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法定时限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45个工作日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某一政务服务事项法规条款明确的具体办结时限（工作日/自然日）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承诺时限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23个工作日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对外承诺办结时限（工作日/自然日）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时限依据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《非药品类易制毒化学品生产、经营许可办法》（国家安全生产监督管理总局令第5号）第十一条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法律法规名称、对应条款描述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数量限制</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没有数量限制的填写无限制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收费方式</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不收费/窗口收费/已实现网上缴费/计划增加网上缴费方式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收费标准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物价部门核定的标准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政府部门正式批文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非药品类易制毒化学品（第一类）经营许可证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由法规制定的规范命名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结果样本</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证照、批文采用安全通用的文件格式，图片清晰美观，图片中涉及企业、个人信息须隐藏（作为附件）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受理条件及依据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1.属依法登记的化工产品经营企业或者药品经营企业；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2.有符合国家规定的经营场所，需要储存、保管易制毒化学品的，还应当有符合国家技术标准的仓储设施；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3.有易制毒化学品的经营管理制度和健全的销售网络；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4.企业法定代表人和销售、管理人员具有易制毒化学品的有关知识，无毒品犯罪记录；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5.法律、法规、规章规定的其他条件。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逐条填写受理条件及相关对应法律条文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是否在本级政务服务中心业务系统统一审批办理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使用大厅统一审批系统</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使用大厅统一审批系统/上级部门统建审批系统/本级自建审批系统/未实行网上审批办理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办理形式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实体大厅窗口办理、材料预审、在线咨询、网上查询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实体大厅窗口办理、网上预约、材料预审、网上申报、在线咨询、网上缴费、网上查询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承诺到现场窗口最多次数（不计邮递结果）</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0-1次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无法承诺/1次/2次/3次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办理结果获取方式（可多选）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窗口领取、邮递办理结果、无需取件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通办范围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本级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本级/跨市/跨县（区）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物流快递</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顺丰、邮政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是否支持办理结果邮递，如果支持填写物流快递合作商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联办机构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同一事项有两个以上实施机构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中介服务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安全评价机构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法定涉及的中介服务，中介名称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办理地点</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具体承办单位所在地点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 xml:space="preserve">周一至周五（法定节假日除外）：上午9:00-12:00 </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下午:13:00-17:00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事项可办理的时间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咨询服务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窗口咨询、电话咨询、电子邮件咨询、网上咨询等可提供的咨询方式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监督投诉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窗口投诉、电话投诉、网上投诉、电子邮件投诉、信函投诉等渠道（本项内容由政务服务中心统一填写，各厅局单位无需填写）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行政诉讼</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可申请行政复议或行政诉讼的部门名称、地点、联系方式等相关信息（本项内容由政务服务中心统一填写，各厅局单位无需填写）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46" w:firstLine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54" w:hRule="atLeas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51" w:hRule="exac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《中华人民共和国安全生产法》第六十条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831" w:hRule="exac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依照本法第九条 规定负有安全生产监督管理职责的部门（以下统称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41" w:hRule="exac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《易制毒化学品管理条例》（中华人民共和国国务院令第445号）第二条、第九条、第十条 </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580"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第二条　国家对易制毒化学品的生产、经营、购买、运输和进口、出口实行分类管理和许可制度。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易制毒化学品分为三类。第一类是可以用于制毒的主要原料，第二类、第三类是可以用于制毒的化学配剂。易制毒化学品的具体分类和品种，由本条例附表列示。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易制毒化学品的分类和品种需要调整的，由国务院公安部门会同国务院食品药品监督管理部门、安全生产监督管理部门、商务主管部门、卫生主管部门和海关总署提出方案，报国务院批准。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省、自治区、直辖市人民政府认为有必要在本行政区域内调整分类或者增加本条例规定以外的品种的，应当向国务院公安部门提出，由国务院公安部门会同国务院有关行政主管部门提出方案，报国务院批准。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第九条　申请经营第一类易制毒化学品，应当具备下列条件，并经本条例第十条规定的行政主管部门审批，取得经营许可证后，方可进行经营：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（一）属依法登记的化工产品经营企业或者药品经营企业；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（二）有符合国家规定的经营场所，需要储存、保管易制毒化学品的，还应当有符合国家技术标准的仓储设施；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（三）有易制毒化学品的经营管理制度和健全的销售网络；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（四）企业法定代表人和销售、管理人员具有易制毒化学品的有关知识，无毒品犯罪记录；</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（五）法律、法规、规章规定的其他条件。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第十条　申请经营第一类中的药品类易制毒化学品的，由国务院食品药品监督管理部门审批；申请经营第一类中的非药品类易制毒化学品的，由省、自治区、直辖市人民政府安全生产监督管理部门审批。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前款规定的行政主管部门应当自收到申请之日起30日内，对申请人提交的申请材料进行审查。对符合规定的，发给经营许可证，或者在企业已经取得的有关经营许可证件上标注；不予许可的，应当书面说明理由。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审查第一类易制毒化学品经营许可申请材料时，根据需要，可以进行实地核查。</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269"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《非药品类易制毒化学品生产、经营许可办法》（国家安全生产监督管理总局令第5号）第三条、第五条、第六条、第八条</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155"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第三条 国家对非药品类易制毒化学品的生产、经营实行许可制度。对第一类非药品类易制毒化学品的生产、经营实行许可证管理，对第二类、第三类易制毒化学品的生产、经营实行备案证明管理。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省、自治区、直辖市人民政府安全生产监督管理部门负责本行政区域内第一类非药品类易制毒化学品生产、经营的审批和许可证的颁发工作。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设区的市级人民政府安全生产监督管理部门负责本行政区域内第二类非药品类易制毒化学品生产、经营和第三类非药品类易制毒化学品生产的备案证明颁发工作。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县级人民政府安全生产监督管理部门负责本行政区域内第三类非药品类易制毒化学品经营的备案证明颁发工作。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第五条 生产、经营第一类非药品类易制毒化学品的，必须取得非药品类易制毒化学品生产、经营许可证方可从事生产、经营活动。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第六条 生产、经营第一类非药品类易制毒化学品的，应当分别符合《条例》第七条、第九条规定的条件。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第八条 经营单位申请非药品类易制毒化学品经营许可证，应当向所在地的省级人民政府安全生产监督管理部门提交下列文件、资料，并对其真实性负责：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（一）非药品类易制毒化学品经营许可证申请书（一式两份）；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（二）经营场所、仓储设施情况说明材料；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（三）易制毒化学品经营管理制度和包括销售机构、销售代理商、用户等内容的销售网络文件；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（四）单位法定代表人或者主要负责人和销售、管理人员具有相应易制毒化学品知识的证明材料及无毒品犯罪记录证明材料；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（五）工商营业执照副本（复印件）；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（六）产品包装说明和使用说明书。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属于危险化学品经营单位的，还应当提交危险化学品经营许可证（复印件），免于提交本条第（五）项所要求的文件、资料。</w:t>
            </w:r>
          </w:p>
        </w:tc>
        <w:tc>
          <w:tcPr>
            <w:tcW w:w="646" w:type="dxa"/>
            <w:shd w:val="clear" w:color="auto" w:fill="auto"/>
            <w:vAlign w:val="center"/>
          </w:tcPr>
          <w:p>
            <w:pPr>
              <w:jc w:val="both"/>
              <w:rPr>
                <w:rFonts w:hint="eastAsia" w:ascii="宋体" w:hAnsi="宋体" w:eastAsia="宋体" w:cs="宋体"/>
                <w:i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6"/>
        <w:gridCol w:w="1288"/>
        <w:gridCol w:w="690"/>
        <w:gridCol w:w="525"/>
        <w:gridCol w:w="675"/>
        <w:gridCol w:w="1935"/>
        <w:gridCol w:w="810"/>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份数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材料类型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材料来源</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法定依据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非药品类易制毒化学品经营许可证申请书及申请文件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《非药品类易制毒化学品生产、经营许可办法》（国家安全生产监督管理总局令第5号）第八条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9"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经营场所、仓储设施情况说明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提交合订本</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2"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易制毒化学品经营管理制度和包括销售机构、销售代理商、用户的销售销售档案及销售台帐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无固定格式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提交合订本</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1"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产品包装说明和使用说明书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查验原件</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left"/>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注：此表适用于第一类非药品类易制毒化学品经营许可。将以上资料均需准备纸质版文件一份，光盘一份。</w:t>
            </w:r>
            <w:r>
              <w:rPr>
                <w:rFonts w:hint="default" w:ascii="宋体" w:hAnsi="宋体" w:eastAsia="宋体" w:cs="宋体"/>
                <w:i w:val="0"/>
                <w:color w:val="000000"/>
                <w:kern w:val="0"/>
                <w:sz w:val="15"/>
                <w:szCs w:val="15"/>
                <w:u w:val="none"/>
                <w:lang w:val="en-US" w:eastAsia="zh-CN" w:bidi="ar"/>
              </w:rPr>
              <w:br w:type="textWrapping"/>
            </w:r>
            <w:r>
              <w:rPr>
                <w:rFonts w:hint="default" w:ascii="宋体" w:hAnsi="宋体" w:eastAsia="宋体" w:cs="宋体"/>
                <w:i w:val="0"/>
                <w:color w:val="000000"/>
                <w:kern w:val="0"/>
                <w:sz w:val="15"/>
                <w:szCs w:val="15"/>
                <w:u w:val="none"/>
                <w:lang w:val="en-US" w:eastAsia="zh-CN" w:bidi="ar"/>
              </w:rPr>
              <w:t>属于危险化学品经营单位的，还应当提交危险化学品经营许可证（复印件）。</w:t>
            </w:r>
          </w:p>
        </w:tc>
      </w:tr>
    </w:tbl>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特殊环节</w:t>
      </w:r>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8"/>
        <w:gridCol w:w="4573"/>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top"/>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8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top"/>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top"/>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top"/>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top"/>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bl>
    <w:p>
      <w:pPr>
        <w:jc w:val="left"/>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办理流程及环节说明</w:t>
      </w:r>
    </w:p>
    <w:tbl>
      <w:tblPr>
        <w:tblStyle w:val="5"/>
        <w:tblW w:w="72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6"/>
        <w:gridCol w:w="1089"/>
        <w:gridCol w:w="901"/>
        <w:gridCol w:w="2670"/>
        <w:gridCol w:w="404"/>
        <w:gridCol w:w="694"/>
        <w:gridCol w:w="50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提报材料及要求（审查标准）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（环节描述）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办理说明（环节结果）</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办理时限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28"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符合《易制毒化学品管理条例》（中华人民共和国国务院令第445号）第二章第九条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网上预受理、受理，或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窗口受理。材料预审。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一、申请事项不在受理范围之内的：网上告知或窗口当场告知不予预受理的理由。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2.申请材料存在可以当场更正的错误的，应当允许或者要求申请人当场更正； </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3.申请材料不齐全或者不符合要求的，应当当场或者在5个工作日内书面一次告知申请人需要补正的全部内容，逾期不告知的，自收到申请材料之日起即为受理；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4.申请材料齐全、符合要求或者按照要求全部补正的，自收到申请材料或者全部补正材料之日起为受理。</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审查、现场核查、会商、报批</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受理之日起应当组织对企业提交的申请文件、资料进行审查。2.对企业提交的文件、资料实质内容存在疑问，需要到现场核查的，应当指派工作人员就有关内容进行现场核查。工作人员应当如实提出现场核查意见。</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危险化学品监管处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田军民</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决定</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签发文件</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1.符合规定的，分管厅领导签发批准文件，网上提交“同意”意见。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2.不符合规定，分管厅领导签发不予批准文件，网上提交“不同意”意见。</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符合《易制毒化学品管理条例》（中华人民共和国国务院令第445号）第二章第 十一条</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送达公告，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整理归档。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一.送达公告：将办结情况网上和短信通知申请人；送达批复或不予批复通知书；办结之日起5个工作日内在信用山西、企业信用信息和厅门户网站公告。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二.整理归档：将申报材料、批准文件（或批复）和送达回执单等纸质书面材料送处档案室归档，档案交接手续齐全。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bl>
    <w:p>
      <w:pPr>
        <w:jc w:val="center"/>
        <w:rPr>
          <w:rFonts w:hint="eastAsia" w:ascii="方正小标宋简体" w:hAnsi="方正小标宋简体" w:eastAsia="方正小标宋简体" w:cs="方正小标宋简体"/>
          <w:kern w:val="2"/>
          <w:sz w:val="28"/>
          <w:szCs w:val="28"/>
          <w:lang w:val="en-US" w:eastAsia="zh-CN" w:bidi="ar-SA"/>
        </w:rPr>
      </w:pP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237"/>
        <w:gridCol w:w="3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问题</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是否需要提交电子版</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需要提交刻有所有材料电子版的光盘两份。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申请材料是否提交合订本</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default" w:asciiTheme="minorEastAsia" w:hAnsiTheme="minorEastAsia" w:eastAsiaTheme="minorEastAsia" w:cstheme="minorEastAsia"/>
                <w:i w:val="0"/>
                <w:color w:val="000000"/>
                <w:kern w:val="0"/>
                <w:sz w:val="15"/>
                <w:szCs w:val="15"/>
                <w:u w:val="none"/>
                <w:lang w:val="en-US" w:eastAsia="zh-CN" w:bidi="ar"/>
              </w:rPr>
              <w:t>依据行政许可档案管理规定，分别装订，不要合订本。</w:t>
            </w:r>
          </w:p>
        </w:tc>
      </w:tr>
    </w:tbl>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5141FB8"/>
    <w:rsid w:val="06E00719"/>
    <w:rsid w:val="06F67632"/>
    <w:rsid w:val="07A62B25"/>
    <w:rsid w:val="086879DA"/>
    <w:rsid w:val="08954689"/>
    <w:rsid w:val="08E67DCC"/>
    <w:rsid w:val="093814E4"/>
    <w:rsid w:val="0B3D2B62"/>
    <w:rsid w:val="0B6A6E87"/>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5C015DB"/>
    <w:rsid w:val="3A697C88"/>
    <w:rsid w:val="3ACD159E"/>
    <w:rsid w:val="3C9330CD"/>
    <w:rsid w:val="3DD70C34"/>
    <w:rsid w:val="3DF370BC"/>
    <w:rsid w:val="3F3C7DA8"/>
    <w:rsid w:val="3F9C6652"/>
    <w:rsid w:val="40C54511"/>
    <w:rsid w:val="40F5463E"/>
    <w:rsid w:val="4235686E"/>
    <w:rsid w:val="42823BB4"/>
    <w:rsid w:val="429A3005"/>
    <w:rsid w:val="431F3CBB"/>
    <w:rsid w:val="44832935"/>
    <w:rsid w:val="4569191B"/>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005E5"/>
    <w:rsid w:val="5D416066"/>
    <w:rsid w:val="5DD02617"/>
    <w:rsid w:val="5E3E025E"/>
    <w:rsid w:val="5FBA33D4"/>
    <w:rsid w:val="61184820"/>
    <w:rsid w:val="61EC36FF"/>
    <w:rsid w:val="62305EF1"/>
    <w:rsid w:val="64F973F1"/>
    <w:rsid w:val="65466D48"/>
    <w:rsid w:val="65BD4A96"/>
    <w:rsid w:val="66E00750"/>
    <w:rsid w:val="66F249AC"/>
    <w:rsid w:val="6A83417D"/>
    <w:rsid w:val="6BA335E4"/>
    <w:rsid w:val="6CAA3A48"/>
    <w:rsid w:val="6E350EB2"/>
    <w:rsid w:val="70811AF7"/>
    <w:rsid w:val="70F30658"/>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