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黑体" w:hAnsi="黑体" w:eastAsia="黑体"/>
          <w:sz w:val="32"/>
          <w:szCs w:val="32"/>
        </w:rPr>
      </w:pPr>
      <w:bookmarkStart w:id="0" w:name="_Toc445798887"/>
      <w:r>
        <w:rPr>
          <w:rFonts w:hint="eastAsia" w:ascii="黑体" w:hAnsi="黑体" w:eastAsia="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国务院关于预防煤矿生产安全事故的特别规定</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楷体_GB2312" w:eastAsia="楷体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eastAsia="楷体_GB2312"/>
          <w:b/>
          <w:bCs/>
          <w:sz w:val="32"/>
          <w:szCs w:val="32"/>
        </w:rPr>
      </w:pPr>
      <w:r>
        <w:rPr>
          <w:rFonts w:hint="eastAsia" w:ascii="楷体_GB2312" w:eastAsia="楷体_GB2312"/>
          <w:b/>
          <w:bCs/>
          <w:sz w:val="32"/>
          <w:szCs w:val="32"/>
        </w:rPr>
        <w:t>（国务院令第446号，自2005年9月3日起施行，根据国务院令第638号修正，自2013年7月18日起施行）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为了及时发现并排除煤矿安全生产隐患，落实煤矿安全生产责任，预防煤矿生产安全事故发生，保障职工的生命安全和煤矿安全生产，制定本规定。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煤矿企业是预防煤矿生产安全事故的责任主体。煤矿企业负责人（包括一些煤矿企业的实际控制人，下同）对预防煤矿生产安全事故负主要责任。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国务院有关部门和地方各级人民政府应当建立并落实预防煤矿生产安全事故的责任制，监督检查煤矿企业预防煤矿生产安全事故的情况，及时解决煤矿生产安全事故预防工作中的重大问题。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以上地方人民政府负责煤矿安全生产监督管理的部门、煤矿安全监察机构不依法履行职责，不及时查处所辖区域的煤矿重大安全生产隐患和违法行为的，对直接责任人和主要负责人，根据情节轻重，给予记过、记大过、降级、撤职或者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煤矿未依法取得采矿许可证、安全生产许可证、营业执照和矿长未依法取得矿长资格证、矿长安全资格证的，煤矿不得从事生产。擅自从事生产的，属非法煤矿。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负责颁发前款规定证照的部门，一经发现煤矿无证照或者证照不全从事生产的，应当责令该煤矿立即停止生产，没收违法所得和开采出的煤炭以及采掘设备，并处违法所得1倍以上5倍以下的罚款；构成犯罪的，依法追究刑事责任；同时于2日内提请当地县级以上地方人民政府予以关闭，并可以向上一级地方人民政府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负责颁发采矿许可证、安全生产许可证、营业执照和矿长资格证、矿长安全资格证的部门，向不符合法定条件的煤矿或者矿长颁发有关证照的，对直接责任人，根据情节轻重，给予降级、撤职或者开除的行政处分；对主要负责人，根据情节轻重，给予记大过、降级、撤职或者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前款规定颁发证照的部门，应当加强对取得证照煤矿的日常监督管理，促使煤矿持续符合取得证照应当具备的条件。不依法履行日常监督管理职责的，对主要负责人，根据情节轻重，给予记过、记大过、降级、撤职或者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在乡、镇人民政府所辖区域内发现有非法煤矿并且没有采取有效制止措施的，对乡、镇人民政府的主要负责人以及负有责任的相关负责人，根据情节轻重，给予降级、撤职或者开除的行政处分；在县级人民政府所辖区域内1个月内发现有2处或者2处以上非法煤矿并且没有采取有效制止措施的，对县级人民政府的主要负责人以及负有责任的相关负责人，根据情节轻重，给予降级、撤职或者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其他有关机关和部门对存在非法煤矿负有责任的，对主要负责人，属于行政机关工作人员的，根据情节轻重，给予记过、记大过、降级或者撤职的行政处分；不属于行政机关工作人员的，建议有关机关和部门给予相应的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煤矿的通风、防瓦斯、防水、防火、防煤尘、防冒顶等安全设备、设施和条件应当符合国家标准、行业标准，并有防范生产安全事故发生的措施和完善的应急处理预案。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煤矿有下列重大安全生产隐患和行为的，应当立即停止生产，排除隐患：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（一）超能力、超强度或者超定员组织生产的；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（二）瓦斯超限作业的；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（三）煤与瓦斯突出矿井，未依照规定实施防突出措施的；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（四）高瓦斯矿井未建立瓦斯抽放系统和监控系统，或者瓦斯监控系统不能正常运行的；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（五）通风系统不完善、不可靠的；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（六）有严重水患，未采取有效措施的；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（七）超层越界开采的；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（八）有冲击地压危险，未采取有效措施的；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（九）自然发火严重，未采取有效措施的；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（十）使用明令禁止使用或者淘汰的设备、工艺的；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（十一）年产6万吨以上的煤矿没有双回路供电系统的；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（十二）新建煤矿边建设边生产，煤矿改扩建期间，在改扩建的区域生产，或者在其他区域的生产超出安全设计规定的范围和规模的；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（十三）煤矿实行整体承包生产经营后，未重新取得安全生产许可证，从事生产的，或者承包方再次转包的，以及煤矿将井下采掘工作面和井巷维修作业进行劳务承包的；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（十四）煤矿改制期间，未明确安全生产责任人和安全管理机构的，或者在完成改制后，未重新取得或者变更采矿许可证、安全生产许可证和营业执照的；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（十五）有其他重大安全生产隐患的。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煤矿企业应当建立健全安全生产隐患排查、治理和报告制度。煤矿企业应当对本规定第八条第二款所列情形定期组织排查，并将排查情况每季度向县级以上地方人民政府负责煤矿安全生产监督管理的部门、煤矿安全监察机构写出书面报告。报告应当经煤矿企业负责人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煤矿企业未依照前款规定排查和报告的，由县级以上地方人民政府负责煤矿安全生产监督管理的部门或者煤矿安全监察机构责令限期改正；逾期未改正的，责令停产整顿，并对煤矿企业负责人处3万元以上15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对被责令停产整顿的煤矿，颁发证照的部门应当暂扣采矿许可证、安全生产许可证、营业执照和矿长资格证、矿长安全资格证。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被责令停产整顿的煤矿应当制定整改方案，落实整改措施和安全技术规定；整改结束后要求恢复生产的，应当由县级以上地方人民政府负责煤矿安全生产监督管理的部门自收到恢复生产申请之日起60日内组织验收完毕；验收合格的，经组织验收的地方人民政府负责煤矿安全生产监督管理的部门的主要负责人签字，并经有关煤矿安全监察机构审核同意，报请有关地方人民政府主要负责人签字批准，颁发证照的部门发还证照，煤矿方可恢复生产；验收不合格的，由有关地方人民政府予以关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被责令停产整顿的煤矿擅自从事生产的，县级以上地方人民政府负责煤矿安全生产监督管理的部门、煤矿安全监察机构应当提请有关地方人民政府予以关闭，没收违法所得，并处违法所得1倍以上5倍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对被责令停产整顿的煤矿，在停产整顿期间，由有关地方人民政府采取有效措施进行监督检查。因监督检查不力，煤矿在停产整顿期间继续生产的，对直接责任人，根据情节轻重，给予降级、撤职或者开除的行政处分；对有关负责人，根据情节轻重，给予记大过、降级、撤职或者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对提请关闭的煤矿，县级以上地方人民政府负责煤矿安全生产监督管理的部门或者煤矿安全监察机构应当责令立即停止生产；有关地方人民政府应当在7日内作出关闭或者不予关闭的决定，并由其主要负责人签字存档。对决定关闭的，有关地方人民政府应当立即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关闭煤矿应当达到下列要求：</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（一）吊销相关证照；</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（二）停止供应并处理火工用品；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（三）停止供电，拆除矿井生产设备、供电、通信线路；</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（四）封闭、填实矿井井筒，平整井口场地，恢复地貌；</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（五）妥善遣散从业人员。</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关闭煤矿未达到前款规定要求的，对组织实施关闭的地方人民政府及其有关部门的负责人和直接责任人给予记过、记大过、降级、撤职或者开除的行政处分；构成犯罪的，依法追究刑事责任。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依照本条第一款规定决定关闭的煤矿，仍有开采价值的，经依法批准可以进行拍卖。</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关闭的煤矿擅自恢复生产的，依照本规定第五条第二款规定予以处罚；构成犯罪的，依法追究刑事责任。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县级以上地方人民政府负责煤矿安全生产监督管理的部门或者煤矿安全监察机构，发现煤矿有本规定第八条第二款所列情形之一的，应当将情况报送有关地方人民政府。</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煤矿存在瓦斯突出、自然发火、冲击地压、水害威胁等重大安全生产隐患，该煤矿在现有技术条件下难以有效防治的，县级以上地方人民政府负责煤矿安全生产监督管理的部门、煤矿安全监察机构应当责令其立即停止生产，并提请有关地方人民政府组织专家进行论证。专家论证应当客观、公正、科学。有关地方人民政府应当根据论证结论，作出是否关闭煤矿的决定，并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井作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以上地方人民政府负责煤矿安全生产监督管理的部门应当对煤矿井下作业人员的安全生产教育和培训情况进行监督检查；煤矿安全监察机构应当对煤矿特种作业人员持证上岗情况进行监督检查。发现煤矿企业未依照国家有关规定对井下作业人员进行安全生产教育和培训或者特种作业人员无证上岗的，应当责令限期改正，处10万元以上50万元以下的罚款；逾期未改正的，责令停产整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县级以上地方人民政府负责煤矿安全生产监督管理的部门、煤矿安全监察机构未履行前款规定的监督检查职责的，对主要负责人，根据情节轻重，给予警告、记过或者记大过的行政处分。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县级以上地方人民政府负责煤矿安全生产监督管理的部门、煤矿安全监察机构在监督检查中，1个月内3次或者3次以上发现煤矿企业未依照国家有关规定对井下作业人员进行安全生产教育和培训或者特种作业人员无证上岗的，应当提请有关地方人民政府对该煤矿予以关闭。</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煤矿拒不执行县级以上地方人民政府负责煤矿安全生产监督管理的部门或者煤矿安全监察机构依法下达的执法指令的，由颁发证照的部门吊销矿长资格证和矿长安全资格证；构成违反治安管理行为的，由公安机关依照治安管理的法律、行政法规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县级以上地方人民政府负责煤矿安全生产监督管理的部门、煤矿安全监察机构对被责令停产整顿或者关闭的煤矿，应当自煤矿被责令停产整顿或者关闭之日起3日内在当地主要媒体公告。</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被责令停产整顿的煤矿经验收合格恢复生产的，县级以上地方人民政府负责煤矿安全生产监督管理的部门、煤矿安全监察机构应当自煤矿验收合格恢复生产之日起3日内在同一媒体公告。</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县级以上地方人民政府负责煤矿安全生产监督管理的部门、煤矿安全监察机构未依照本条第一款、第二款规定进行公告的，对有关负责人，根据情节轻重，给予警告、记过、记大过或者降级的行政处分。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公告所需费用由同级财政列支。</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国家机关工作人员和国有企业负责人不得违反国家规定投资入股煤矿（依法取得上市公司股票的除外），不得对煤矿的违法行为予以纵容、包庇。</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国家行政机关工作人员和国有企业负责人违反前款规定的，根据情节轻重，给予降级、撤职或者开除的处分；构成犯罪的，依法追究刑事责任。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煤矿企业负责人和生产经营管理人员应当按照国家规定轮流带班下井，并建立下井登记档案。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以上地方人民政府负责煤矿安全生产监督管理的部门或者煤矿安全监察机构发现煤矿企业在生产过程中，1周内其负责人或者生产经营管理人员没有按照国家规定带班下井，或者下井登记档案虚假的，责令改正，并对该煤矿企业处3万元以上15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煤矿企业应当免费为每位职工发放煤矿职工安全手册。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煤矿职工安全手册应当载明职工的权利、义务，煤矿重大安全生产隐患的情形和应急保护措施、方法以及安全生产隐患和违法行为的举报电话、受理部门。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煤矿企业没有为每位职工发放符合要求的职工安全手册的，由县级以上地方人民政府负责煤矿安全生产监督管理的部门或者煤矿安全监察机构责令限期改正；逾期未改正的，处5万元以下的罚款。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任何单位和个人发现煤矿有本规定第五条第一款和第八条第二款所列情形之一的，都有权向县级以上地方人民政府负责煤矿安全生产监督管理的部门或者煤矿安全监察机构举报。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受理的举报经调查属实的，受理举报的部门或者机构应当给予最先举报人1000元至1万元的奖励，所需费用由同级财政列支。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以上地方人民政府负责煤矿安全生产监督管理的部门或者煤矿安全监察机构接到举报后，应当及时调查处理；不及时调查处理的，对有关责任人，根据情节轻重，给予警告、记过、记大过或者降级的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煤矿有违反本规定的违法行为，法律规定由有关部门查处的，有关部门应当依法进行查处。但是，对同一违法行为不得给予两次以上罚款的行政处罚。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国家行政机关工作人员、国有企业负责人有违反本规定的行为，依照本规定应当给予处分的，由监察机关或者任免机关依法作出处分决定。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国家行政机关工作人员、国有企业负责人对处分决定不服的，可以依法提出申诉。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当事人对行政处罚决定不服的，可以依法申请行政复议，或者依法直接向人民法院提起行政诉讼。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省、自治区、直辖市人民政府可以依据本规定制定具体实施办法。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本规定自公布之日起施行。</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eastAsia="仿宋_GB2312"/>
          <w:sz w:val="32"/>
          <w:szCs w:val="32"/>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Arial Unicode MS"/>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06403"/>
    <w:rsid w:val="16B0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2018-11-09T08:50:00Z</dcterms:created>
  <dc:creator>勿忘我</dc:creator>
  <cp:lastModifiedBy>勿忘我</cp:lastModifiedBy>
  <dcterms:modified xsi:type="dcterms:W3CDTF">2018-11-09T08:50:54Z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