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ascii="黑体" w:hAnsi="黑体" w:eastAsia="黑体" w:cs="黑体"/>
        </w:rPr>
      </w:pPr>
      <w:r>
        <w:rPr>
          <w:rFonts w:hint="eastAsia" w:ascii="黑体" w:hAnsi="黑体" w:eastAsia="黑体" w:cs="黑体"/>
        </w:rPr>
        <w:t>附件1</w:t>
      </w:r>
    </w:p>
    <w:p>
      <w:pPr>
        <w:spacing w:line="600" w:lineRule="exact"/>
        <w:ind w:firstLine="0" w:firstLineChars="0"/>
        <w:jc w:val="center"/>
        <w:rPr>
          <w:rFonts w:ascii="方正小标宋简体" w:hAnsi="方正小标宋简体" w:eastAsia="方正小标宋简体" w:cs="方正小标宋简体"/>
          <w:sz w:val="44"/>
          <w:szCs w:val="44"/>
        </w:rPr>
      </w:pPr>
    </w:p>
    <w:p>
      <w:pPr>
        <w:spacing w:line="600" w:lineRule="exact"/>
        <w:ind w:firstLine="0" w:firstLineChars="0"/>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定义和术语</w:t>
      </w:r>
      <w:bookmarkEnd w:id="0"/>
    </w:p>
    <w:p>
      <w:pPr>
        <w:pStyle w:val="2"/>
        <w:spacing w:after="0" w:line="600" w:lineRule="exact"/>
        <w:ind w:firstLine="400"/>
      </w:pPr>
    </w:p>
    <w:p>
      <w:pPr>
        <w:spacing w:line="600" w:lineRule="exact"/>
        <w:ind w:firstLine="640"/>
        <w:rPr>
          <w:rFonts w:ascii="黑体" w:hAnsi="黑体" w:eastAsia="黑体" w:cs="黑体"/>
        </w:rPr>
      </w:pPr>
      <w:r>
        <w:rPr>
          <w:rFonts w:hint="eastAsia" w:ascii="黑体" w:hAnsi="黑体" w:eastAsia="黑体" w:cs="黑体"/>
        </w:rPr>
        <w:t>（1）化工园区</w:t>
      </w:r>
    </w:p>
    <w:p>
      <w:pPr>
        <w:spacing w:line="600" w:lineRule="exact"/>
        <w:ind w:firstLine="640"/>
        <w:rPr>
          <w:rFonts w:ascii="仿宋_GB2312" w:hAnsi="仿宋_GB2312" w:cs="仿宋_GB2312"/>
        </w:rPr>
      </w:pPr>
      <w:r>
        <w:rPr>
          <w:rFonts w:hint="eastAsia" w:ascii="仿宋_GB2312" w:hAnsi="仿宋_GB2312" w:cs="仿宋_GB2312"/>
        </w:rPr>
        <w:t>依法设立的用于专门发展化工产业的工业区或集中区。</w:t>
      </w:r>
    </w:p>
    <w:p>
      <w:pPr>
        <w:spacing w:line="600" w:lineRule="exact"/>
        <w:ind w:firstLine="640"/>
        <w:rPr>
          <w:rFonts w:ascii="黑体" w:hAnsi="黑体" w:eastAsia="黑体" w:cs="黑体"/>
        </w:rPr>
      </w:pPr>
      <w:r>
        <w:rPr>
          <w:rFonts w:hint="eastAsia" w:ascii="黑体" w:hAnsi="黑体" w:eastAsia="黑体" w:cs="黑体"/>
        </w:rPr>
        <w:t>（2）防护目标</w:t>
      </w:r>
    </w:p>
    <w:p>
      <w:pPr>
        <w:spacing w:line="600" w:lineRule="exact"/>
        <w:ind w:firstLine="640"/>
        <w:rPr>
          <w:rFonts w:ascii="仿宋_GB2312" w:hAnsi="仿宋_GB2312" w:cs="仿宋_GB2312"/>
        </w:rPr>
      </w:pPr>
      <w:r>
        <w:rPr>
          <w:rFonts w:hint="eastAsia" w:ascii="仿宋_GB2312" w:hAnsi="仿宋_GB2312" w:cs="仿宋_GB2312"/>
        </w:rPr>
        <w:t>受化工园区危险化学品安全事故影响，化工园区外可能发生人员伤亡、财产损失的设施或场所。</w:t>
      </w:r>
    </w:p>
    <w:p>
      <w:pPr>
        <w:spacing w:line="600" w:lineRule="exact"/>
        <w:ind w:firstLine="640"/>
        <w:rPr>
          <w:rFonts w:ascii="黑体" w:hAnsi="黑体" w:eastAsia="黑体" w:cs="黑体"/>
        </w:rPr>
      </w:pPr>
      <w:r>
        <w:rPr>
          <w:rFonts w:hint="eastAsia" w:ascii="黑体" w:hAnsi="黑体" w:eastAsia="黑体" w:cs="黑体"/>
        </w:rPr>
        <w:t>（3）多米诺效应</w:t>
      </w:r>
    </w:p>
    <w:p>
      <w:pPr>
        <w:spacing w:line="600" w:lineRule="exact"/>
        <w:ind w:firstLine="640"/>
        <w:rPr>
          <w:rFonts w:ascii="仿宋_GB2312" w:hAnsi="仿宋_GB2312" w:cs="仿宋_GB2312"/>
        </w:rPr>
      </w:pPr>
      <w:r>
        <w:rPr>
          <w:rFonts w:hint="eastAsia" w:ascii="仿宋_GB2312" w:hAnsi="仿宋_GB2312" w:cs="仿宋_GB2312"/>
        </w:rPr>
        <w:t>化工园区内一个企业的危险源发生安全事故时可能会引起其他企业的危险源也相继发生安全事故，从而造成更大安全事故的现象。</w:t>
      </w:r>
    </w:p>
    <w:p>
      <w:pPr>
        <w:spacing w:line="600" w:lineRule="exact"/>
        <w:ind w:firstLine="640"/>
        <w:rPr>
          <w:rFonts w:ascii="黑体" w:hAnsi="黑体" w:eastAsia="黑体" w:cs="黑体"/>
        </w:rPr>
      </w:pPr>
      <w:r>
        <w:rPr>
          <w:rFonts w:hint="eastAsia" w:ascii="黑体" w:hAnsi="黑体" w:eastAsia="黑体" w:cs="黑体"/>
        </w:rPr>
        <w:t>（4）土地规划安全控制线</w:t>
      </w:r>
    </w:p>
    <w:p>
      <w:pPr>
        <w:spacing w:line="600" w:lineRule="exact"/>
        <w:ind w:firstLine="640"/>
      </w:pPr>
      <w:r>
        <w:rPr>
          <w:rFonts w:hint="eastAsia" w:ascii="仿宋_GB2312" w:hAnsi="仿宋_GB2312" w:cs="仿宋_GB2312"/>
        </w:rPr>
        <w:t>为预防和减缓化工园区危险化学品潜在安全事故（火灾、爆炸、泄漏等）对化工园区外防护目标的影响，用于限制化工园区周边土地开发利用的控制线。</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NDk0MDdjNjJiNmUyZDg3NmQxNTNmZjI1MGRmYTAifQ=="/>
  </w:docVars>
  <w:rsids>
    <w:rsidRoot w:val="683162B4"/>
    <w:rsid w:val="68316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kern w:val="0"/>
      <w:sz w:val="20"/>
    </w:rPr>
  </w:style>
  <w:style w:type="paragraph" w:styleId="3">
    <w:name w:val="toc 2"/>
    <w:basedOn w:val="1"/>
    <w:next w:val="1"/>
    <w:unhideWhenUsed/>
    <w:qFormat/>
    <w:uiPriority w:val="39"/>
    <w:pPr>
      <w:ind w:left="420" w:leftChars="200"/>
    </w:pPr>
  </w:style>
  <w:style w:type="paragraph" w:styleId="4">
    <w:name w:val="footer"/>
    <w:basedOn w:val="1"/>
    <w:unhideWhenUsed/>
    <w:qFormat/>
    <w:uiPriority w:val="0"/>
    <w:pPr>
      <w:tabs>
        <w:tab w:val="center" w:pos="4153"/>
        <w:tab w:val="right" w:pos="8306"/>
      </w:tabs>
      <w:spacing w:line="240" w:lineRule="atLeast"/>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pacing w:line="240" w:lineRule="atLeast"/>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2022-07-14T08:44:00Z</dcterms:created>
  <dc:creator>gongtingting</dc:creator>
  <cp:lastModifiedBy>gongtingting</cp:lastModifiedBy>
  <dcterms:modified xsi:type="dcterms:W3CDTF">2022-07-14T08:44:33Z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2E4747A6ED2C4B5DAF4CC44A746807E2</vt:lpwstr>
  </property>
</Properties>
</file>