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附件1</w:t>
      </w:r>
    </w:p>
    <w:tbl>
      <w:tblPr>
        <w:tblStyle w:val="5"/>
        <w:tblW w:w="15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3"/>
        <w:gridCol w:w="423"/>
        <w:gridCol w:w="410"/>
        <w:gridCol w:w="448"/>
        <w:gridCol w:w="436"/>
        <w:gridCol w:w="676"/>
        <w:gridCol w:w="566"/>
        <w:gridCol w:w="525"/>
        <w:gridCol w:w="572"/>
        <w:gridCol w:w="770"/>
        <w:gridCol w:w="800"/>
        <w:gridCol w:w="584"/>
        <w:gridCol w:w="450"/>
        <w:gridCol w:w="1166"/>
        <w:gridCol w:w="1284"/>
        <w:gridCol w:w="1033"/>
        <w:gridCol w:w="933"/>
        <w:gridCol w:w="484"/>
        <w:gridCol w:w="1450"/>
        <w:gridCol w:w="766"/>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054" w:type="dxa"/>
            <w:gridSpan w:val="21"/>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危险化学品专项整治三年行动任务完成情况（政府、各部门）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3" w:hRule="atLeast"/>
        </w:trPr>
        <w:tc>
          <w:tcPr>
            <w:tcW w:w="15054" w:type="dxa"/>
            <w:gridSpan w:val="21"/>
            <w:shd w:val="clear" w:color="auto" w:fill="auto"/>
            <w:vAlign w:val="center"/>
          </w:tcPr>
          <w:p>
            <w:pPr>
              <w:keepNext w:val="0"/>
              <w:keepLines w:val="0"/>
              <w:widowControl/>
              <w:suppressLineNumbers w:val="0"/>
              <w:jc w:val="both"/>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填报单位：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0"/>
                <w:szCs w:val="20"/>
                <w:u w:val="none"/>
              </w:rPr>
            </w:pPr>
          </w:p>
        </w:tc>
        <w:tc>
          <w:tcPr>
            <w:tcW w:w="34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政府工作任务</w:t>
            </w:r>
          </w:p>
        </w:tc>
        <w:tc>
          <w:tcPr>
            <w:tcW w:w="27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应急部门工作任务</w:t>
            </w:r>
          </w:p>
        </w:tc>
        <w:tc>
          <w:tcPr>
            <w:tcW w:w="83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有关部门工作任务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16</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19</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宋体" w:eastAsia="黑体" w:cs="黑体"/>
                <w:i w:val="0"/>
                <w:color w:val="000000"/>
                <w:sz w:val="18"/>
                <w:szCs w:val="1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制定化工产业发展规划。</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出台新建化工项目准入条件。</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制定危险化学品“禁限控”目录。</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建立建设项目联合审查机制。</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通过在职培训、人员招录、公务员聘任等方式，使具有化工安全生产相关专业学历和实践经验的执法人员数量达到在职人员的75%以上。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危险化学品重点县要建立监管人员到大型化工企业进行岗位实训机制。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在临汾、晋中等地区增设省级危险化学品应急救援队伍。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油气长输管道标识与安全警示标志设置率达到100%。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油气输送管道防腐与阴极保护设备、站场（阀室）气液联动阀完好率要达到100%。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每年对危险化学品生产企业主要负责人集中开展法律、风险和事故警示教育，并出具安全培训合格证明。同时，对危险化学品重大危险源企业主要负责人开展一次考核，不合格的不得担任企业主要负责人。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依托重点化工企业、化工园区、职业院校或培训机构建立危险化学品实习实训基地。</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已纳入城镇人口密集区危险化学品生产企业搬迁改造计划的,要按期完成。</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组织开展废弃危险化学品等危险废物排查工作。强化危废处置全流程监管,完善危险废物由产生到处置各环节转移联单制度；建立部门联动、区域协作、重大案件会商督办制度，形成覆盖危险废物产生、处置、贮存、转移、运输、利用、处置等全过程监管；制定出台《危险废物利用处置设施建设指导意见》。</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教育、卫健、科技等部门要加强对学校、医院、重点实验室等使用危险化学品单位的安全监管，做到建档立册，排查无遗漏、无死角、全覆盖；各科研机构主管部门要按照“管行业管安全”的原则对科研机构实施安全监管；能源、交通、农业、水利等行业主管部门要对本行业领域使用危险化学品的单位排查一遍，对重大隐患依法挂牌督办。</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督促所有管道企业明确完整性管理的负责部门和职责要求，配备专门人员，制定完整性管理方案，开展动态完整性管理。组织开展油气输送管道法定检测专项整治,逐步提高油气输送管道法定检验率,提升管道本体质量安全。</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制定出台《山西省运营高速公路服务区危险化学品运输车辆停放管理办法》，完成高速公路服务区危险货物运输车辆专用停车位的划定，完善消防等应急处置设施，并纳入信息化监管平台。</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危险化学品道路运输综合监管系统投入使用，危险货物运输车辆全部安装智能视频监控报警系统。</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加强对我省高速公路10公里以上特长隧道及其他高风险路段危险货物运输车辆管理。强化普通国省干线特大型公路桥梁、特长公路隧道、饮用水源地等危险货物运输车辆通行路段的交通安全管理。对我省高速公路危险货物运输车辆指定入口措施进行调整，严格落实高速公路收费站最多不超过3辆危险货物运输车排队等待通行的要求，持续完善设置相应的提示标牌，降低危险货物运输车辆聚集风险。</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加强机场、铁路车站以及铁路接轨的专用线、专用铁路等危险货物装卸、储存场所和设施的安全监管,对不符合安全生产条件场所的要进行清理整顿。</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组织开展油气输送管道法定检测专项整治,逐步提高油气输送管道法定检验率,提升管道本体质量安全。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完成时限</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2020年底前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2020年底前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2022年底前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2020年底前</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2022年底前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2020年底前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2022年底前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2020年底前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2021年底前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持续推进</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2022年底前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2022年底前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持续推进</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持续推进</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2020年底前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持续推进</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2022年底前</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持续推进</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持续推进</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完成情况</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黑体" w:hAnsi="宋体" w:eastAsia="黑体" w:cs="黑体"/>
                <w:i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outlineLvl w:val="9"/>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600" w:lineRule="exact"/>
        <w:ind w:left="1890" w:leftChars="900" w:right="0" w:rightChars="0" w:firstLine="0" w:firstLineChars="0"/>
        <w:jc w:val="center"/>
        <w:textAlignment w:val="auto"/>
        <w:outlineLvl w:val="9"/>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br w:type="page"/>
      </w:r>
    </w:p>
    <w:tbl>
      <w:tblPr>
        <w:tblStyle w:val="5"/>
        <w:tblW w:w="15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0"/>
        <w:gridCol w:w="574"/>
        <w:gridCol w:w="637"/>
        <w:gridCol w:w="532"/>
        <w:gridCol w:w="1193"/>
        <w:gridCol w:w="955"/>
        <w:gridCol w:w="493"/>
        <w:gridCol w:w="1035"/>
        <w:gridCol w:w="850"/>
        <w:gridCol w:w="1267"/>
        <w:gridCol w:w="676"/>
        <w:gridCol w:w="561"/>
        <w:gridCol w:w="454"/>
        <w:gridCol w:w="676"/>
        <w:gridCol w:w="816"/>
        <w:gridCol w:w="550"/>
        <w:gridCol w:w="1350"/>
        <w:gridCol w:w="561"/>
        <w:gridCol w:w="673"/>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5054" w:type="dxa"/>
            <w:gridSpan w:val="2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危险化学品专项整治三年行动任务完成情况（企业汇总表）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5054" w:type="dxa"/>
            <w:gridSpan w:val="20"/>
            <w:shd w:val="clear" w:color="auto" w:fill="auto"/>
            <w:vAlign w:val="center"/>
          </w:tcPr>
          <w:p>
            <w:pPr>
              <w:keepNext w:val="0"/>
              <w:keepLines w:val="0"/>
              <w:widowControl/>
              <w:suppressLineNumbers w:val="0"/>
              <w:jc w:val="both"/>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填报单位：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序号</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企业名称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8</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9</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11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13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14</w:t>
            </w:r>
          </w:p>
        </w:tc>
        <w:tc>
          <w:tcPr>
            <w:tcW w:w="135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16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17</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宋体" w:eastAsia="黑体" w:cs="黑体"/>
                <w:i w:val="0"/>
                <w:color w:val="000000"/>
                <w:sz w:val="16"/>
                <w:szCs w:val="16"/>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宋体" w:eastAsia="黑体" w:cs="黑体"/>
                <w:i w:val="0"/>
                <w:color w:val="000000"/>
                <w:sz w:val="16"/>
                <w:szCs w:val="16"/>
                <w:u w:val="none"/>
              </w:rPr>
            </w:pPr>
          </w:p>
        </w:tc>
        <w:tc>
          <w:tcPr>
            <w:tcW w:w="63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危险化学品企业是否对照《危险化学品企业安全风险隐患排查治理导则》，全面开展安全风险隐患自查，建立隐患台账，制定整改方案。</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完成时限：2020年6月</w:t>
            </w:r>
          </w:p>
        </w:tc>
        <w:tc>
          <w:tcPr>
            <w:tcW w:w="53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涉及重大危险源的危险化学品企业是否全面完成以安全风险分级管控和隐患排查治理双重预防机制为重点的安全预防控制体系建设。</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完后时限：2022年底前</w:t>
            </w:r>
          </w:p>
        </w:tc>
        <w:tc>
          <w:tcPr>
            <w:tcW w:w="119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生产储存企业是否按照《危险化学品生产装置和储存设施风险基准》（GB36894-2018）和《危险化学品生产装置和储存设施外部安全防护距离确定方法》（GB/T37243-2019）等标准规范，完成外部安全防护距离确定工作。</w:t>
            </w:r>
            <w:r>
              <w:rPr>
                <w:rFonts w:hint="eastAsia" w:ascii="黑体" w:hAnsi="宋体" w:eastAsia="黑体" w:cs="黑体"/>
                <w:i w:val="0"/>
                <w:color w:val="000000"/>
                <w:kern w:val="0"/>
                <w:sz w:val="16"/>
                <w:szCs w:val="16"/>
                <w:u w:val="none"/>
                <w:lang w:val="en-US" w:eastAsia="zh-CN" w:bidi="ar"/>
              </w:rPr>
              <w:br w:type="textWrapping"/>
            </w:r>
            <w:r>
              <w:rPr>
                <w:rFonts w:hint="eastAsia" w:ascii="黑体" w:hAnsi="宋体" w:eastAsia="黑体" w:cs="黑体"/>
                <w:i w:val="0"/>
                <w:color w:val="000000"/>
                <w:kern w:val="0"/>
                <w:sz w:val="16"/>
                <w:szCs w:val="16"/>
                <w:u w:val="none"/>
                <w:lang w:val="en-US" w:eastAsia="zh-CN" w:bidi="ar"/>
              </w:rPr>
              <w:t>完成时限：不符合外部安全防护距离要求，具备整改条件的2020年底完成；需要搬迁的，2022年底前完成</w:t>
            </w:r>
          </w:p>
        </w:tc>
        <w:tc>
          <w:tcPr>
            <w:tcW w:w="9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涉及“两重点一重大”的生产装置、储存设施可燃有毒气体泄漏检测报警装置、紧急切断装置、自动化控制系统的装备和使用率是否达到100%。</w:t>
            </w:r>
            <w:r>
              <w:rPr>
                <w:rFonts w:hint="eastAsia" w:ascii="黑体" w:hAnsi="宋体" w:eastAsia="黑体" w:cs="黑体"/>
                <w:i w:val="0"/>
                <w:color w:val="000000"/>
                <w:kern w:val="0"/>
                <w:sz w:val="16"/>
                <w:szCs w:val="16"/>
                <w:u w:val="none"/>
                <w:lang w:val="en-US" w:eastAsia="zh-CN" w:bidi="ar"/>
              </w:rPr>
              <w:br w:type="textWrapping"/>
            </w:r>
            <w:r>
              <w:rPr>
                <w:rFonts w:hint="eastAsia" w:ascii="黑体" w:hAnsi="宋体" w:eastAsia="黑体" w:cs="黑体"/>
                <w:i w:val="0"/>
                <w:color w:val="000000"/>
                <w:kern w:val="0"/>
                <w:sz w:val="16"/>
                <w:szCs w:val="16"/>
                <w:u w:val="none"/>
                <w:lang w:val="en-US" w:eastAsia="zh-CN" w:bidi="ar"/>
              </w:rPr>
              <w:t>安全仪表系统完好在用率是否达到100%；每12个月至少对安全仪表系统所有联锁回路进行一次功能安全等级符合性测试。</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完成时限：2020年底前</w:t>
            </w:r>
          </w:p>
        </w:tc>
        <w:tc>
          <w:tcPr>
            <w:tcW w:w="49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所有涉及硝化、氯化、氟化、重氮化、过氧化工艺装置的上下游配套装置是否实现全流程自动化控制，最大限度减少作业场所人数。</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完成时限：2022年底前</w:t>
            </w:r>
          </w:p>
        </w:tc>
        <w:tc>
          <w:tcPr>
            <w:tcW w:w="103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危险化学品企业具有甲、乙类火灾危险性、粉尘爆炸危险性、中毒危险性的厂房（含装置或车间）和仓库内的办公室、休息室、外操室、巡检室是否搬离。</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完成时限：2020年8月</w:t>
            </w:r>
            <w:r>
              <w:rPr>
                <w:rStyle w:val="8"/>
                <w:lang w:val="en-US" w:eastAsia="zh-CN" w:bidi="ar"/>
              </w:rPr>
              <w:br w:type="textWrapping"/>
            </w:r>
            <w:r>
              <w:rPr>
                <w:rStyle w:val="8"/>
                <w:lang w:val="en-US" w:eastAsia="zh-CN" w:bidi="ar"/>
              </w:rPr>
              <w:t>涉及甲、乙类火灾危险性的生产装置控制室、交接班室原则上不得布置在装置区内,确需布置的,是否按照《石油化工控制室抗爆设计规范》(GB50779-2012 )完成抗爆设计、建设和加固。</w:t>
            </w:r>
            <w:r>
              <w:rPr>
                <w:rStyle w:val="8"/>
                <w:lang w:val="en-US" w:eastAsia="zh-CN" w:bidi="ar"/>
              </w:rPr>
              <w:br w:type="textWrapping"/>
            </w:r>
            <w:r>
              <w:rPr>
                <w:rStyle w:val="7"/>
                <w:lang w:val="en-US" w:eastAsia="zh-CN" w:bidi="ar"/>
              </w:rPr>
              <w:t>完成时限：2020年底前</w:t>
            </w:r>
          </w:p>
        </w:tc>
        <w:tc>
          <w:tcPr>
            <w:tcW w:w="8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危险化学品企业在役装置未经正规设计的是否完成安全设计诊断工作, 对装置布局、工艺技术及流程、主要设备和管道、自动控制、公用工程等方面进行设计复核,全面查找并整改装置设计存在的问题, 消除安全隐患。</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完成时限：2020年底前</w:t>
            </w:r>
          </w:p>
        </w:tc>
        <w:tc>
          <w:tcPr>
            <w:tcW w:w="126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涉及硝化、氯化、氟化、重氮化、过氧化工艺的企业是否完成有关产品生产工艺全流程的反应安全风险评估，并按照《关于加强精细化工反应安全风险评估工作的指导意见》（安监总管三〔2017〕1号）的有关方法, 对相关原料、中间产品、产品及副产物进行热稳定性测试和蒸馏、干燥、 储 存等单元操作的风险评估；</w:t>
            </w:r>
            <w:r>
              <w:rPr>
                <w:rFonts w:hint="eastAsia" w:ascii="黑体" w:hAnsi="宋体" w:eastAsia="黑体" w:cs="黑体"/>
                <w:i w:val="0"/>
                <w:color w:val="000000"/>
                <w:kern w:val="0"/>
                <w:sz w:val="16"/>
                <w:szCs w:val="16"/>
                <w:u w:val="none"/>
                <w:lang w:val="en-US" w:eastAsia="zh-CN" w:bidi="ar"/>
              </w:rPr>
              <w:br w:type="textWrapping"/>
            </w:r>
            <w:r>
              <w:rPr>
                <w:rFonts w:hint="eastAsia" w:ascii="黑体" w:hAnsi="宋体" w:eastAsia="黑体" w:cs="黑体"/>
                <w:i w:val="0"/>
                <w:color w:val="000000"/>
                <w:kern w:val="0"/>
                <w:sz w:val="16"/>
                <w:szCs w:val="16"/>
                <w:u w:val="none"/>
                <w:lang w:val="en-US" w:eastAsia="zh-CN" w:bidi="ar"/>
              </w:rPr>
              <w:t>是否根据反应危险度等级和评估建议设置相应的安全设施,补充完善安全管控措施,及时审查和修订安全操作规程, 确保设备设施满足工艺安全要求。</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完成时限：2021年底前</w:t>
            </w:r>
          </w:p>
        </w:tc>
        <w:tc>
          <w:tcPr>
            <w:tcW w:w="676"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危险化学品企业是否完成危险化学品排放口、采样口等排放阀的改进提升,通过加装盲板、丝堵、管帽、双阀等措施,减少动静密封点泄漏风险。</w:t>
            </w:r>
            <w:r>
              <w:rPr>
                <w:rFonts w:hint="eastAsia" w:ascii="黑体" w:hAnsi="宋体" w:eastAsia="黑体" w:cs="黑体"/>
                <w:i w:val="0"/>
                <w:color w:val="000000"/>
                <w:kern w:val="0"/>
                <w:sz w:val="16"/>
                <w:szCs w:val="16"/>
                <w:u w:val="none"/>
                <w:lang w:val="en-US" w:eastAsia="zh-CN" w:bidi="ar"/>
              </w:rPr>
              <w:br w:type="textWrapping"/>
            </w:r>
            <w:r>
              <w:rPr>
                <w:rFonts w:hint="eastAsia" w:ascii="黑体" w:hAnsi="宋体" w:eastAsia="黑体" w:cs="黑体"/>
                <w:i w:val="0"/>
                <w:color w:val="000000"/>
                <w:kern w:val="0"/>
                <w:sz w:val="16"/>
                <w:szCs w:val="16"/>
                <w:u w:val="none"/>
                <w:lang w:val="en-US" w:eastAsia="zh-CN" w:bidi="ar"/>
              </w:rPr>
              <w:t>涉及剧毒及高毒化学品工艺环节是否采用密闭循环取样系统。</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完成时限：2021年底前</w:t>
            </w:r>
          </w:p>
        </w:tc>
        <w:tc>
          <w:tcPr>
            <w:tcW w:w="56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氯碱企业是否实现氯乙烯事故放散集中收集或火炬燃烧。</w:t>
            </w:r>
            <w:r>
              <w:rPr>
                <w:rFonts w:hint="eastAsia" w:ascii="黑体" w:hAnsi="宋体" w:eastAsia="黑体" w:cs="黑体"/>
                <w:i w:val="0"/>
                <w:color w:val="000000"/>
                <w:kern w:val="0"/>
                <w:sz w:val="16"/>
                <w:szCs w:val="16"/>
                <w:u w:val="none"/>
                <w:lang w:val="en-US" w:eastAsia="zh-CN" w:bidi="ar"/>
              </w:rPr>
              <w:br w:type="textWrapping"/>
            </w:r>
            <w:r>
              <w:rPr>
                <w:rFonts w:hint="eastAsia" w:ascii="黑体" w:hAnsi="宋体" w:eastAsia="黑体" w:cs="黑体"/>
                <w:i w:val="0"/>
                <w:color w:val="000000"/>
                <w:kern w:val="0"/>
                <w:sz w:val="16"/>
                <w:szCs w:val="16"/>
                <w:u w:val="none"/>
                <w:lang w:val="en-US" w:eastAsia="zh-CN" w:bidi="ar"/>
              </w:rPr>
              <w:t>合成氨企业是否实现各类含氨气体的无害化收集处置。</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完成时限：2022年底前</w:t>
            </w:r>
          </w:p>
        </w:tc>
        <w:tc>
          <w:tcPr>
            <w:tcW w:w="454"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危险化学品企业涉及易燃易爆介质的往复式压缩机是否完成自动化改造提升。</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完成时限：2022年底前</w:t>
            </w:r>
          </w:p>
        </w:tc>
        <w:tc>
          <w:tcPr>
            <w:tcW w:w="676"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危险化学品企业是否按照《石油化工可燃气体和有毒气体检测报警设计标准》（GB/T50493-2019），规范可燃有毒气体探头布置, 并按标准重新设置探头报警值。</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完成时限：2020年底前</w:t>
            </w:r>
          </w:p>
        </w:tc>
        <w:tc>
          <w:tcPr>
            <w:tcW w:w="816"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危险化学品生产企业和建设项目是否自行或委托第三方安全评价机构对环保设施进行安全风险评估, 并对评估存在的问题进整改；</w:t>
            </w:r>
            <w:r>
              <w:rPr>
                <w:rFonts w:hint="eastAsia" w:ascii="黑体" w:hAnsi="宋体" w:eastAsia="黑体" w:cs="黑体"/>
                <w:i w:val="0"/>
                <w:color w:val="000000"/>
                <w:kern w:val="0"/>
                <w:sz w:val="16"/>
                <w:szCs w:val="16"/>
                <w:u w:val="none"/>
                <w:lang w:val="en-US" w:eastAsia="zh-CN" w:bidi="ar"/>
              </w:rPr>
              <w:br w:type="textWrapping"/>
            </w:r>
            <w:r>
              <w:rPr>
                <w:rFonts w:hint="eastAsia" w:ascii="黑体" w:hAnsi="宋体" w:eastAsia="黑体" w:cs="黑体"/>
                <w:i w:val="0"/>
                <w:color w:val="000000"/>
                <w:kern w:val="0"/>
                <w:sz w:val="16"/>
                <w:szCs w:val="16"/>
                <w:u w:val="none"/>
                <w:lang w:val="en-US" w:eastAsia="zh-CN" w:bidi="ar"/>
              </w:rPr>
              <w:t>是否对伴有危险化学品产生的环保设施严格执行危险化学品建设项目安全设施“三同时”有关要求。</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完成时限：2020年6月底</w:t>
            </w:r>
          </w:p>
        </w:tc>
        <w:tc>
          <w:tcPr>
            <w:tcW w:w="5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危险化学品生产企业主要负责人是否每年接受法律意识、风险意识和事故教训的警示教育安全培训并经考核合格。</w:t>
            </w:r>
          </w:p>
        </w:tc>
        <w:tc>
          <w:tcPr>
            <w:tcW w:w="1350" w:type="dxa"/>
            <w:tcBorders>
              <w:top w:val="single" w:color="000000" w:sz="4" w:space="0"/>
              <w:lef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自2020年5月起, 新任涉及“两重点一重大”生产装置和储存设施企业的主要负责人和主管生产、设备、技术、安全的负责人及安全生产管理人员,是否具备化学、化工、安全等相关专业大专及以上学历或化工类中级及以上职称。</w:t>
            </w:r>
            <w:r>
              <w:rPr>
                <w:rFonts w:hint="eastAsia" w:ascii="黑体" w:hAnsi="宋体" w:eastAsia="黑体" w:cs="黑体"/>
                <w:i w:val="0"/>
                <w:color w:val="000000"/>
                <w:kern w:val="0"/>
                <w:sz w:val="16"/>
                <w:szCs w:val="16"/>
                <w:u w:val="none"/>
                <w:lang w:val="en-US" w:eastAsia="zh-CN" w:bidi="ar"/>
              </w:rPr>
              <w:br w:type="textWrapping"/>
            </w:r>
            <w:r>
              <w:rPr>
                <w:rFonts w:hint="eastAsia" w:ascii="黑体" w:hAnsi="宋体" w:eastAsia="黑体" w:cs="黑体"/>
                <w:i w:val="0"/>
                <w:color w:val="000000"/>
                <w:kern w:val="0"/>
                <w:sz w:val="16"/>
                <w:szCs w:val="16"/>
                <w:u w:val="none"/>
                <w:lang w:val="en-US" w:eastAsia="zh-CN" w:bidi="ar"/>
              </w:rPr>
              <w:t>新入职的涉及重大危险源、重点监管化工工艺的生产装置、储存设施操作人员是否具备高中及以上学历或化工类中等及以上职业教育。</w:t>
            </w:r>
            <w:r>
              <w:rPr>
                <w:rFonts w:hint="eastAsia" w:ascii="黑体" w:hAnsi="宋体" w:eastAsia="黑体" w:cs="黑体"/>
                <w:i w:val="0"/>
                <w:color w:val="000000"/>
                <w:kern w:val="0"/>
                <w:sz w:val="16"/>
                <w:szCs w:val="16"/>
                <w:u w:val="none"/>
                <w:lang w:val="en-US" w:eastAsia="zh-CN" w:bidi="ar"/>
              </w:rPr>
              <w:br w:type="textWrapping"/>
            </w:r>
            <w:r>
              <w:rPr>
                <w:rFonts w:hint="eastAsia" w:ascii="黑体" w:hAnsi="宋体" w:eastAsia="黑体" w:cs="黑体"/>
                <w:i w:val="0"/>
                <w:color w:val="000000"/>
                <w:kern w:val="0"/>
                <w:sz w:val="16"/>
                <w:szCs w:val="16"/>
                <w:u w:val="none"/>
                <w:lang w:val="en-US" w:eastAsia="zh-CN" w:bidi="ar"/>
              </w:rPr>
              <w:t>不符合上述要求的现有企业人员是否进行学历提升，保证在2022年底前达到相应水平。</w:t>
            </w:r>
            <w:r>
              <w:rPr>
                <w:rFonts w:hint="eastAsia" w:ascii="黑体" w:hAnsi="宋体" w:eastAsia="黑体" w:cs="黑体"/>
                <w:i w:val="0"/>
                <w:color w:val="000000"/>
                <w:kern w:val="0"/>
                <w:sz w:val="16"/>
                <w:szCs w:val="16"/>
                <w:u w:val="none"/>
                <w:lang w:val="en-US" w:eastAsia="zh-CN" w:bidi="ar"/>
              </w:rPr>
              <w:br w:type="textWrapping"/>
            </w:r>
            <w:r>
              <w:rPr>
                <w:rFonts w:hint="eastAsia" w:ascii="黑体" w:hAnsi="宋体" w:eastAsia="黑体" w:cs="黑体"/>
                <w:i w:val="0"/>
                <w:color w:val="000000"/>
                <w:kern w:val="0"/>
                <w:sz w:val="16"/>
                <w:szCs w:val="16"/>
                <w:u w:val="none"/>
                <w:lang w:val="en-US" w:eastAsia="zh-CN" w:bidi="ar"/>
              </w:rPr>
              <w:t>完成时限：2022年前</w:t>
            </w:r>
          </w:p>
        </w:tc>
        <w:tc>
          <w:tcPr>
            <w:tcW w:w="56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危险化学品企业是否按规定配备化工相关专业注册安全工程师, 并严格落实特种作业人员先持证后上岗制度。</w:t>
            </w:r>
          </w:p>
        </w:tc>
        <w:tc>
          <w:tcPr>
            <w:tcW w:w="67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合成氨、氯碱、液化天然气和涉及重点监管危险化工工艺、重大危险源的精细化工企业是否达到二级以上安全标准化等级。</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完成时限：2022年底前</w:t>
            </w:r>
          </w:p>
        </w:tc>
        <w:tc>
          <w:tcPr>
            <w:tcW w:w="75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危险化学品企业是否结合自身安全风险特点,认真落实《危险化学品企业生产安全事故应急准备指南》, 建立完善专、兼职应急救援队伍,并至少每半年组织一次事故预案演练,提高企业应急处置能力。</w:t>
            </w:r>
            <w:r>
              <w:rPr>
                <w:rFonts w:hint="eastAsia" w:ascii="黑体" w:hAnsi="宋体" w:eastAsia="黑体" w:cs="黑体"/>
                <w:i w:val="0"/>
                <w:color w:val="000000"/>
                <w:kern w:val="0"/>
                <w:sz w:val="16"/>
                <w:szCs w:val="16"/>
                <w:u w:val="none"/>
                <w:lang w:val="en-US" w:eastAsia="zh-CN" w:bidi="ar"/>
              </w:rPr>
              <w:br w:type="textWrapping"/>
            </w:r>
            <w:r>
              <w:rPr>
                <w:rStyle w:val="7"/>
                <w:lang w:val="en-US" w:eastAsia="zh-CN" w:bidi="ar"/>
              </w:rPr>
              <w:t>完成时限：2022年前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6"/>
                <w:szCs w:val="16"/>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6"/>
                <w:szCs w:val="16"/>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6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6"/>
                <w:szCs w:val="16"/>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6"/>
                <w:szCs w:val="16"/>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6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r>
    </w:tbl>
    <w:p>
      <w:pPr>
        <w:pStyle w:val="2"/>
        <w:ind w:left="0" w:leftChars="0" w:firstLine="0" w:firstLineChars="0"/>
        <w:rPr>
          <w:rFonts w:hint="eastAsia"/>
          <w:lang w:val="en" w:eastAsia="zh-CN"/>
        </w:rPr>
        <w:sectPr>
          <w:footerReference r:id="rId3" w:type="default"/>
          <w:pgSz w:w="16838" w:h="11906" w:orient="landscape"/>
          <w:pgMar w:top="1020" w:right="907" w:bottom="1020" w:left="907" w:header="851" w:footer="850" w:gutter="0"/>
          <w:pgNumType w:fmt="numberInDash"/>
          <w:cols w:space="0" w:num="1"/>
          <w:rtlGutter w:val="0"/>
          <w:docGrid w:type="lines" w:linePitch="315"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ODZmMzAxZGE1MmMzNGU5Y2M1MjlkMDkxNzM5ZmYifQ=="/>
  </w:docVars>
  <w:rsids>
    <w:rsidRoot w:val="02B2608A"/>
    <w:rsid w:val="02B2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next w:val="1"/>
    <w:qFormat/>
    <w:uiPriority w:val="99"/>
  </w:style>
  <w:style w:type="paragraph" w:customStyle="1" w:styleId="3">
    <w:name w:val="正文文本缩进1"/>
    <w:basedOn w:val="1"/>
    <w:qFormat/>
    <w:uiPriority w:val="99"/>
    <w:pPr>
      <w:ind w:left="200" w:leftChars="200"/>
    </w:pPr>
  </w:style>
  <w:style w:type="paragraph" w:styleId="4">
    <w:name w:val="footer"/>
    <w:basedOn w:val="1"/>
    <w:qFormat/>
    <w:uiPriority w:val="99"/>
    <w:pPr>
      <w:tabs>
        <w:tab w:val="center" w:pos="4153"/>
        <w:tab w:val="right" w:pos="8306"/>
      </w:tabs>
      <w:snapToGrid w:val="0"/>
      <w:jc w:val="left"/>
    </w:pPr>
    <w:rPr>
      <w:sz w:val="18"/>
    </w:rPr>
  </w:style>
  <w:style w:type="character" w:customStyle="1" w:styleId="7">
    <w:name w:val="font11"/>
    <w:basedOn w:val="6"/>
    <w:qFormat/>
    <w:uiPriority w:val="0"/>
    <w:rPr>
      <w:rFonts w:hint="eastAsia" w:ascii="黑体" w:hAnsi="宋体" w:eastAsia="黑体" w:cs="黑体"/>
      <w:color w:val="000000"/>
      <w:sz w:val="16"/>
      <w:szCs w:val="16"/>
      <w:u w:val="single"/>
    </w:rPr>
  </w:style>
  <w:style w:type="character" w:customStyle="1" w:styleId="8">
    <w:name w:val="font31"/>
    <w:basedOn w:val="6"/>
    <w:qFormat/>
    <w:uiPriority w:val="0"/>
    <w:rPr>
      <w:rFonts w:hint="eastAsia" w:ascii="黑体" w:hAnsi="宋体" w:eastAsia="黑体" w:cs="黑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2022-08-05T09:16:00Z</dcterms:created>
  <dc:creator>文档存本地丢失不负责</dc:creator>
  <cp:lastModifiedBy>文档存本地丢失不负责</cp:lastModifiedBy>
  <dcterms:modified xsi:type="dcterms:W3CDTF">2022-08-05T09:17:07Z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26A6232D4758480499695A44653AF801</vt:lpwstr>
  </property>
</Properties>
</file>