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附件6</w:t>
      </w:r>
    </w:p>
    <w:p>
      <w:pPr>
        <w:pStyle w:val="4"/>
        <w:spacing w:before="0" w:beforeLines="0" w:beforeAutospacing="0" w:after="0" w:afterLines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</w:pPr>
      <w:bookmarkStart w:id="0" w:name="_GoBack"/>
      <w:bookmarkEnd w:id="0"/>
    </w:p>
    <w:p>
      <w:pPr>
        <w:pStyle w:val="4"/>
        <w:spacing w:before="0" w:beforeLines="0" w:beforeAutospacing="0" w:after="0" w:afterLines="0" w:afterAutospacing="0" w:line="600" w:lineRule="exact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  <w:t>有效期满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安全文化建设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</w:rPr>
        <w:t>示范企业名单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1.山西交通控股集团有限公司晋城高速公路分公司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2.山西交通控股集团有限公司吕梁南高速公路分公司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3.冀东海天水泥闻喜有限责任公司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4.华电忻州广宇煤电有限公司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5.山西通才工贸有限公司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6.山西地方电力有限公司柳林分公司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7.晋能清洁能源光伏发电有限责任公司应县光伏电站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8.华能太原东山燃机热电有限责任公司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9.山西路桥集团偏关县旅游公路有限公司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10.山西地方电力有限公司交口分公司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11.山西黎城粉末冶金有限责任公司三分公司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12.山西地方电力有限公司临县分公司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13.侯马市东鑫机械铸造有限公司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14.山西太钢不锈钢股份有限公司焦化厂</w:t>
      </w:r>
    </w:p>
    <w:p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15.大秦铁路股份有限公司朔州车务段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</w:p>
    <w:p/>
    <w:sectPr>
      <w:footerReference r:id="rId3" w:type="default"/>
      <w:pgSz w:w="11906" w:h="16838"/>
      <w:pgMar w:top="1797" w:right="1531" w:bottom="1797" w:left="1531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095E5DAB"/>
    <w:rsid w:val="095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2023-07-19T08:36:00Z</dcterms:created>
  <dc:creator>诩趁裳呕敢</dc:creator>
  <cp:lastModifiedBy>诩趁裳呕敢</cp:lastModifiedBy>
  <dcterms:modified xsi:type="dcterms:W3CDTF">2023-07-19T08:37:46Z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10A39A7C1A9449F3AD9B6D0371639118_11</vt:lpwstr>
  </property>
</Properties>
</file>